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05A99787" w:rsidR="00BD221D" w:rsidRPr="005044CA" w:rsidRDefault="009A3B2E" w:rsidP="00BD221D">
            <w:pPr>
              <w:pStyle w:val="eTRMHeading1"/>
              <w:jc w:val="center"/>
              <w:rPr>
                <w:sz w:val="28"/>
              </w:rPr>
            </w:pPr>
            <w:r>
              <w:rPr>
                <w:sz w:val="28"/>
              </w:rPr>
              <w:t>Servi</w:t>
            </w:r>
            <w:r w:rsidR="00A94C1B">
              <w:rPr>
                <w:sz w:val="28"/>
              </w:rPr>
              <w:t>ce and Domesctic HOt Water</w:t>
            </w:r>
          </w:p>
          <w:p w14:paraId="5CA4091D" w14:textId="19BEEA4C" w:rsidR="00BD221D" w:rsidRPr="005044CA" w:rsidRDefault="00A94C1B" w:rsidP="00B561EE">
            <w:pPr>
              <w:pStyle w:val="eTRMHeading2"/>
              <w:rPr>
                <w:color w:val="FFFFFF" w:themeColor="background1"/>
                <w:spacing w:val="60"/>
                <w:sz w:val="32"/>
              </w:rPr>
            </w:pPr>
            <w:r>
              <w:rPr>
                <w:color w:val="FFFFFF" w:themeColor="background1"/>
                <w:spacing w:val="60"/>
                <w:sz w:val="32"/>
              </w:rPr>
              <w:t>Pipe Wrap, Residential</w:t>
            </w:r>
          </w:p>
          <w:p w14:paraId="10BE1877" w14:textId="34D3CEDA" w:rsidR="005044CA" w:rsidRPr="005044CA" w:rsidRDefault="00E13F87" w:rsidP="00B561EE">
            <w:pPr>
              <w:pStyle w:val="eTRMHeading2"/>
              <w:rPr>
                <w:color w:val="FFFFFF" w:themeColor="background1"/>
                <w:spacing w:val="0"/>
                <w:sz w:val="28"/>
              </w:rPr>
            </w:pPr>
            <w:r>
              <w:rPr>
                <w:color w:val="FFFFFF" w:themeColor="background1"/>
                <w:spacing w:val="0"/>
                <w:sz w:val="28"/>
              </w:rPr>
              <w:t>SWWH026</w:t>
            </w:r>
            <w:r w:rsidR="005044CA" w:rsidRPr="005044CA">
              <w:rPr>
                <w:color w:val="FFFFFF" w:themeColor="background1"/>
                <w:spacing w:val="0"/>
                <w:sz w:val="28"/>
              </w:rPr>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1753154C" w14:textId="5AB1D3DE" w:rsidR="00094B2B"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094B2B">
        <w:rPr>
          <w:noProof/>
        </w:rPr>
        <w:t>Measure Name</w:t>
      </w:r>
      <w:r w:rsidR="00094B2B">
        <w:rPr>
          <w:noProof/>
        </w:rPr>
        <w:tab/>
      </w:r>
      <w:r w:rsidR="00094B2B">
        <w:rPr>
          <w:noProof/>
        </w:rPr>
        <w:fldChar w:fldCharType="begin"/>
      </w:r>
      <w:r w:rsidR="00094B2B">
        <w:rPr>
          <w:noProof/>
        </w:rPr>
        <w:instrText xml:space="preserve"> PAGEREF _Toc5966602 \h </w:instrText>
      </w:r>
      <w:r w:rsidR="00094B2B">
        <w:rPr>
          <w:noProof/>
        </w:rPr>
      </w:r>
      <w:r w:rsidR="00094B2B">
        <w:rPr>
          <w:noProof/>
        </w:rPr>
        <w:fldChar w:fldCharType="separate"/>
      </w:r>
      <w:r w:rsidR="001F2B0C">
        <w:rPr>
          <w:noProof/>
        </w:rPr>
        <w:t>2</w:t>
      </w:r>
      <w:r w:rsidR="00094B2B">
        <w:rPr>
          <w:noProof/>
        </w:rPr>
        <w:fldChar w:fldCharType="end"/>
      </w:r>
    </w:p>
    <w:p w14:paraId="6964D335" w14:textId="3E30244A" w:rsidR="00094B2B" w:rsidRDefault="00094B2B">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_Toc5966603 \h </w:instrText>
      </w:r>
      <w:r>
        <w:rPr>
          <w:noProof/>
        </w:rPr>
      </w:r>
      <w:r>
        <w:rPr>
          <w:noProof/>
        </w:rPr>
        <w:fldChar w:fldCharType="separate"/>
      </w:r>
      <w:r w:rsidR="001F2B0C">
        <w:rPr>
          <w:noProof/>
        </w:rPr>
        <w:t>2</w:t>
      </w:r>
      <w:r>
        <w:rPr>
          <w:noProof/>
        </w:rPr>
        <w:fldChar w:fldCharType="end"/>
      </w:r>
    </w:p>
    <w:p w14:paraId="5C0786D9" w14:textId="3BB5750D" w:rsidR="00094B2B" w:rsidRDefault="00094B2B">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_Toc5966604 \h </w:instrText>
      </w:r>
      <w:r>
        <w:rPr>
          <w:noProof/>
        </w:rPr>
      </w:r>
      <w:r>
        <w:rPr>
          <w:noProof/>
        </w:rPr>
        <w:fldChar w:fldCharType="separate"/>
      </w:r>
      <w:r w:rsidR="001F2B0C">
        <w:rPr>
          <w:noProof/>
        </w:rPr>
        <w:t>2</w:t>
      </w:r>
      <w:r>
        <w:rPr>
          <w:noProof/>
        </w:rPr>
        <w:fldChar w:fldCharType="end"/>
      </w:r>
    </w:p>
    <w:p w14:paraId="27CD1092" w14:textId="44A1AAA0" w:rsidR="00094B2B" w:rsidRDefault="00094B2B">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_Toc5966605 \h </w:instrText>
      </w:r>
      <w:r>
        <w:rPr>
          <w:noProof/>
        </w:rPr>
      </w:r>
      <w:r>
        <w:rPr>
          <w:noProof/>
        </w:rPr>
        <w:fldChar w:fldCharType="separate"/>
      </w:r>
      <w:r w:rsidR="001F2B0C">
        <w:rPr>
          <w:noProof/>
        </w:rPr>
        <w:t>2</w:t>
      </w:r>
      <w:r>
        <w:rPr>
          <w:noProof/>
        </w:rPr>
        <w:fldChar w:fldCharType="end"/>
      </w:r>
    </w:p>
    <w:p w14:paraId="01016D6F" w14:textId="005B0D2B" w:rsidR="00094B2B" w:rsidRDefault="00094B2B">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_Toc5966606 \h </w:instrText>
      </w:r>
      <w:r>
        <w:rPr>
          <w:noProof/>
        </w:rPr>
      </w:r>
      <w:r>
        <w:rPr>
          <w:noProof/>
        </w:rPr>
        <w:fldChar w:fldCharType="separate"/>
      </w:r>
      <w:r w:rsidR="001F2B0C">
        <w:rPr>
          <w:noProof/>
        </w:rPr>
        <w:t>3</w:t>
      </w:r>
      <w:r>
        <w:rPr>
          <w:noProof/>
        </w:rPr>
        <w:fldChar w:fldCharType="end"/>
      </w:r>
    </w:p>
    <w:p w14:paraId="2ECFFE3D" w14:textId="7AFDFDBC" w:rsidR="00094B2B" w:rsidRDefault="00094B2B">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_Toc5966607 \h </w:instrText>
      </w:r>
      <w:r>
        <w:rPr>
          <w:noProof/>
        </w:rPr>
      </w:r>
      <w:r>
        <w:rPr>
          <w:noProof/>
        </w:rPr>
        <w:fldChar w:fldCharType="separate"/>
      </w:r>
      <w:r w:rsidR="001F2B0C">
        <w:rPr>
          <w:noProof/>
        </w:rPr>
        <w:t>3</w:t>
      </w:r>
      <w:r>
        <w:rPr>
          <w:noProof/>
        </w:rPr>
        <w:fldChar w:fldCharType="end"/>
      </w:r>
    </w:p>
    <w:p w14:paraId="7C592580" w14:textId="6EC31662" w:rsidR="00094B2B" w:rsidRDefault="00094B2B">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_Toc5966608 \h </w:instrText>
      </w:r>
      <w:r>
        <w:rPr>
          <w:noProof/>
        </w:rPr>
      </w:r>
      <w:r>
        <w:rPr>
          <w:noProof/>
        </w:rPr>
        <w:fldChar w:fldCharType="separate"/>
      </w:r>
      <w:r w:rsidR="001F2B0C">
        <w:rPr>
          <w:noProof/>
        </w:rPr>
        <w:t>3</w:t>
      </w:r>
      <w:r>
        <w:rPr>
          <w:noProof/>
        </w:rPr>
        <w:fldChar w:fldCharType="end"/>
      </w:r>
    </w:p>
    <w:p w14:paraId="0300A5D0" w14:textId="73B941F7" w:rsidR="00094B2B" w:rsidRDefault="00094B2B">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_Toc5966609 \h </w:instrText>
      </w:r>
      <w:r>
        <w:rPr>
          <w:noProof/>
        </w:rPr>
      </w:r>
      <w:r>
        <w:rPr>
          <w:noProof/>
        </w:rPr>
        <w:fldChar w:fldCharType="separate"/>
      </w:r>
      <w:r w:rsidR="001F2B0C">
        <w:rPr>
          <w:noProof/>
        </w:rPr>
        <w:t>4</w:t>
      </w:r>
      <w:r>
        <w:rPr>
          <w:noProof/>
        </w:rPr>
        <w:fldChar w:fldCharType="end"/>
      </w:r>
    </w:p>
    <w:p w14:paraId="4AE5D3A2" w14:textId="09476243" w:rsidR="00094B2B" w:rsidRDefault="00094B2B">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_Toc5966610 \h </w:instrText>
      </w:r>
      <w:r>
        <w:rPr>
          <w:noProof/>
        </w:rPr>
      </w:r>
      <w:r>
        <w:rPr>
          <w:noProof/>
        </w:rPr>
        <w:fldChar w:fldCharType="separate"/>
      </w:r>
      <w:r w:rsidR="001F2B0C">
        <w:rPr>
          <w:noProof/>
        </w:rPr>
        <w:t>4</w:t>
      </w:r>
      <w:r>
        <w:rPr>
          <w:noProof/>
        </w:rPr>
        <w:fldChar w:fldCharType="end"/>
      </w:r>
    </w:p>
    <w:p w14:paraId="6DF4DB19" w14:textId="6D0DDCA8" w:rsidR="00094B2B" w:rsidRDefault="00094B2B">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_Toc5966611 \h </w:instrText>
      </w:r>
      <w:r>
        <w:rPr>
          <w:noProof/>
        </w:rPr>
      </w:r>
      <w:r>
        <w:rPr>
          <w:noProof/>
        </w:rPr>
        <w:fldChar w:fldCharType="separate"/>
      </w:r>
      <w:r w:rsidR="001F2B0C">
        <w:rPr>
          <w:noProof/>
        </w:rPr>
        <w:t>4</w:t>
      </w:r>
      <w:r>
        <w:rPr>
          <w:noProof/>
        </w:rPr>
        <w:fldChar w:fldCharType="end"/>
      </w:r>
    </w:p>
    <w:p w14:paraId="6586387A" w14:textId="1E5AEDBA" w:rsidR="00094B2B" w:rsidRDefault="00094B2B">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_Toc5966612 \h </w:instrText>
      </w:r>
      <w:r>
        <w:rPr>
          <w:noProof/>
        </w:rPr>
      </w:r>
      <w:r>
        <w:rPr>
          <w:noProof/>
        </w:rPr>
        <w:fldChar w:fldCharType="separate"/>
      </w:r>
      <w:r w:rsidR="001F2B0C">
        <w:rPr>
          <w:noProof/>
        </w:rPr>
        <w:t>5</w:t>
      </w:r>
      <w:r>
        <w:rPr>
          <w:noProof/>
        </w:rPr>
        <w:fldChar w:fldCharType="end"/>
      </w:r>
    </w:p>
    <w:p w14:paraId="69319DD3" w14:textId="4973A917" w:rsidR="00094B2B" w:rsidRDefault="00094B2B">
      <w:pPr>
        <w:pStyle w:val="TOC3"/>
        <w:rPr>
          <w:rFonts w:asciiTheme="minorHAnsi" w:hAnsiTheme="minorHAnsi"/>
          <w:noProof/>
          <w:szCs w:val="22"/>
        </w:rPr>
      </w:pPr>
      <w:r>
        <w:rPr>
          <w:noProof/>
        </w:rPr>
        <w:t>Electric Savings (</w:t>
      </w:r>
      <w:r w:rsidRPr="00397EA8">
        <w:rPr>
          <w:noProof/>
        </w:rPr>
        <w:t>kWh</w:t>
      </w:r>
      <w:r>
        <w:rPr>
          <w:noProof/>
        </w:rPr>
        <w:t>)</w:t>
      </w:r>
      <w:r>
        <w:rPr>
          <w:noProof/>
        </w:rPr>
        <w:tab/>
      </w:r>
      <w:r>
        <w:rPr>
          <w:noProof/>
        </w:rPr>
        <w:fldChar w:fldCharType="begin"/>
      </w:r>
      <w:r>
        <w:rPr>
          <w:noProof/>
        </w:rPr>
        <w:instrText xml:space="preserve"> PAGEREF _Toc5966613 \h </w:instrText>
      </w:r>
      <w:r>
        <w:rPr>
          <w:noProof/>
        </w:rPr>
      </w:r>
      <w:r>
        <w:rPr>
          <w:noProof/>
        </w:rPr>
        <w:fldChar w:fldCharType="separate"/>
      </w:r>
      <w:r w:rsidR="001F2B0C">
        <w:rPr>
          <w:noProof/>
        </w:rPr>
        <w:t>5</w:t>
      </w:r>
      <w:r>
        <w:rPr>
          <w:noProof/>
        </w:rPr>
        <w:fldChar w:fldCharType="end"/>
      </w:r>
    </w:p>
    <w:p w14:paraId="2F808B02" w14:textId="01610267" w:rsidR="00094B2B" w:rsidRDefault="00094B2B">
      <w:pPr>
        <w:pStyle w:val="TOC3"/>
        <w:rPr>
          <w:rFonts w:asciiTheme="minorHAnsi" w:hAnsiTheme="minorHAnsi"/>
          <w:noProof/>
          <w:szCs w:val="22"/>
        </w:rPr>
      </w:pPr>
      <w:r>
        <w:rPr>
          <w:noProof/>
        </w:rPr>
        <w:t>Peak Electric Demand Reduction (</w:t>
      </w:r>
      <w:r w:rsidRPr="00397EA8">
        <w:rPr>
          <w:noProof/>
        </w:rPr>
        <w:t>kW</w:t>
      </w:r>
      <w:r>
        <w:rPr>
          <w:noProof/>
        </w:rPr>
        <w:t>)</w:t>
      </w:r>
      <w:r>
        <w:rPr>
          <w:noProof/>
        </w:rPr>
        <w:tab/>
      </w:r>
      <w:r>
        <w:rPr>
          <w:noProof/>
        </w:rPr>
        <w:fldChar w:fldCharType="begin"/>
      </w:r>
      <w:r>
        <w:rPr>
          <w:noProof/>
        </w:rPr>
        <w:instrText xml:space="preserve"> PAGEREF _Toc5966614 \h </w:instrText>
      </w:r>
      <w:r>
        <w:rPr>
          <w:noProof/>
        </w:rPr>
      </w:r>
      <w:r>
        <w:rPr>
          <w:noProof/>
        </w:rPr>
        <w:fldChar w:fldCharType="separate"/>
      </w:r>
      <w:r w:rsidR="001F2B0C">
        <w:rPr>
          <w:noProof/>
        </w:rPr>
        <w:t>5</w:t>
      </w:r>
      <w:r>
        <w:rPr>
          <w:noProof/>
        </w:rPr>
        <w:fldChar w:fldCharType="end"/>
      </w:r>
    </w:p>
    <w:p w14:paraId="7161A005" w14:textId="50D928BB" w:rsidR="00094B2B" w:rsidRDefault="00094B2B">
      <w:pPr>
        <w:pStyle w:val="TOC3"/>
        <w:rPr>
          <w:rFonts w:asciiTheme="minorHAnsi" w:hAnsiTheme="minorHAnsi"/>
          <w:noProof/>
          <w:szCs w:val="22"/>
        </w:rPr>
      </w:pPr>
      <w:r>
        <w:rPr>
          <w:noProof/>
        </w:rPr>
        <w:t>Gas Savings (</w:t>
      </w:r>
      <w:r w:rsidRPr="00397EA8">
        <w:rPr>
          <w:noProof/>
        </w:rPr>
        <w:t>Therms</w:t>
      </w:r>
      <w:r>
        <w:rPr>
          <w:noProof/>
        </w:rPr>
        <w:t>)</w:t>
      </w:r>
      <w:r>
        <w:rPr>
          <w:noProof/>
        </w:rPr>
        <w:tab/>
      </w:r>
      <w:r>
        <w:rPr>
          <w:noProof/>
        </w:rPr>
        <w:fldChar w:fldCharType="begin"/>
      </w:r>
      <w:r>
        <w:rPr>
          <w:noProof/>
        </w:rPr>
        <w:instrText xml:space="preserve"> PAGEREF _Toc5966615 \h </w:instrText>
      </w:r>
      <w:r>
        <w:rPr>
          <w:noProof/>
        </w:rPr>
      </w:r>
      <w:r>
        <w:rPr>
          <w:noProof/>
        </w:rPr>
        <w:fldChar w:fldCharType="separate"/>
      </w:r>
      <w:r w:rsidR="001F2B0C">
        <w:rPr>
          <w:noProof/>
        </w:rPr>
        <w:t>5</w:t>
      </w:r>
      <w:r>
        <w:rPr>
          <w:noProof/>
        </w:rPr>
        <w:fldChar w:fldCharType="end"/>
      </w:r>
    </w:p>
    <w:p w14:paraId="4944C6EB" w14:textId="2DD6F0B4" w:rsidR="00094B2B" w:rsidRDefault="00094B2B">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_Toc5966616 \h </w:instrText>
      </w:r>
      <w:r>
        <w:rPr>
          <w:noProof/>
        </w:rPr>
      </w:r>
      <w:r>
        <w:rPr>
          <w:noProof/>
        </w:rPr>
        <w:fldChar w:fldCharType="separate"/>
      </w:r>
      <w:r w:rsidR="001F2B0C">
        <w:rPr>
          <w:noProof/>
        </w:rPr>
        <w:t>7</w:t>
      </w:r>
      <w:r>
        <w:rPr>
          <w:noProof/>
        </w:rPr>
        <w:fldChar w:fldCharType="end"/>
      </w:r>
    </w:p>
    <w:p w14:paraId="6E8FFCCF" w14:textId="1DD7AB5C" w:rsidR="00094B2B" w:rsidRDefault="00094B2B">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_Toc5966617 \h </w:instrText>
      </w:r>
      <w:r>
        <w:rPr>
          <w:noProof/>
        </w:rPr>
      </w:r>
      <w:r>
        <w:rPr>
          <w:noProof/>
        </w:rPr>
        <w:fldChar w:fldCharType="separate"/>
      </w:r>
      <w:r w:rsidR="001F2B0C">
        <w:rPr>
          <w:noProof/>
        </w:rPr>
        <w:t>8</w:t>
      </w:r>
      <w:r>
        <w:rPr>
          <w:noProof/>
        </w:rPr>
        <w:fldChar w:fldCharType="end"/>
      </w:r>
    </w:p>
    <w:p w14:paraId="24E2906E" w14:textId="20B6221D" w:rsidR="00094B2B" w:rsidRDefault="00094B2B">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_Toc5966618 \h </w:instrText>
      </w:r>
      <w:r>
        <w:rPr>
          <w:noProof/>
        </w:rPr>
      </w:r>
      <w:r>
        <w:rPr>
          <w:noProof/>
        </w:rPr>
        <w:fldChar w:fldCharType="separate"/>
      </w:r>
      <w:r w:rsidR="001F2B0C">
        <w:rPr>
          <w:noProof/>
        </w:rPr>
        <w:t>8</w:t>
      </w:r>
      <w:r>
        <w:rPr>
          <w:noProof/>
        </w:rPr>
        <w:fldChar w:fldCharType="end"/>
      </w:r>
    </w:p>
    <w:p w14:paraId="22CB8FEC" w14:textId="7FB369A2" w:rsidR="00094B2B" w:rsidRDefault="00094B2B">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_Toc5966619 \h </w:instrText>
      </w:r>
      <w:r>
        <w:rPr>
          <w:noProof/>
        </w:rPr>
      </w:r>
      <w:r>
        <w:rPr>
          <w:noProof/>
        </w:rPr>
        <w:fldChar w:fldCharType="separate"/>
      </w:r>
      <w:r w:rsidR="001F2B0C">
        <w:rPr>
          <w:noProof/>
        </w:rPr>
        <w:t>8</w:t>
      </w:r>
      <w:r>
        <w:rPr>
          <w:noProof/>
        </w:rPr>
        <w:fldChar w:fldCharType="end"/>
      </w:r>
    </w:p>
    <w:p w14:paraId="765D20E8" w14:textId="0E893237" w:rsidR="00094B2B" w:rsidRDefault="00094B2B">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_Toc5966620 \h </w:instrText>
      </w:r>
      <w:r>
        <w:rPr>
          <w:noProof/>
        </w:rPr>
      </w:r>
      <w:r>
        <w:rPr>
          <w:noProof/>
        </w:rPr>
        <w:fldChar w:fldCharType="separate"/>
      </w:r>
      <w:r w:rsidR="001F2B0C">
        <w:rPr>
          <w:noProof/>
        </w:rPr>
        <w:t>8</w:t>
      </w:r>
      <w:r>
        <w:rPr>
          <w:noProof/>
        </w:rPr>
        <w:fldChar w:fldCharType="end"/>
      </w:r>
    </w:p>
    <w:p w14:paraId="6DC44BC1" w14:textId="12B71FED" w:rsidR="00094B2B" w:rsidRDefault="00094B2B">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_Toc5966621 \h </w:instrText>
      </w:r>
      <w:r>
        <w:rPr>
          <w:noProof/>
        </w:rPr>
      </w:r>
      <w:r>
        <w:rPr>
          <w:noProof/>
        </w:rPr>
        <w:fldChar w:fldCharType="separate"/>
      </w:r>
      <w:r w:rsidR="001F2B0C">
        <w:rPr>
          <w:noProof/>
        </w:rPr>
        <w:t>8</w:t>
      </w:r>
      <w:r>
        <w:rPr>
          <w:noProof/>
        </w:rPr>
        <w:fldChar w:fldCharType="end"/>
      </w:r>
    </w:p>
    <w:p w14:paraId="1E9B2579" w14:textId="26E01D92" w:rsidR="00094B2B" w:rsidRDefault="00094B2B">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_Toc5966622 \h </w:instrText>
      </w:r>
      <w:r>
        <w:rPr>
          <w:noProof/>
        </w:rPr>
      </w:r>
      <w:r>
        <w:rPr>
          <w:noProof/>
        </w:rPr>
        <w:fldChar w:fldCharType="separate"/>
      </w:r>
      <w:r w:rsidR="001F2B0C">
        <w:rPr>
          <w:noProof/>
        </w:rPr>
        <w:t>8</w:t>
      </w:r>
      <w:r>
        <w:rPr>
          <w:noProof/>
        </w:rPr>
        <w:fldChar w:fldCharType="end"/>
      </w:r>
    </w:p>
    <w:p w14:paraId="40F95E43" w14:textId="390AAB7A" w:rsidR="00094B2B" w:rsidRDefault="00094B2B">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_Toc5966623 \h </w:instrText>
      </w:r>
      <w:r>
        <w:rPr>
          <w:noProof/>
        </w:rPr>
      </w:r>
      <w:r>
        <w:rPr>
          <w:noProof/>
        </w:rPr>
        <w:fldChar w:fldCharType="separate"/>
      </w:r>
      <w:r w:rsidR="001F2B0C">
        <w:rPr>
          <w:noProof/>
        </w:rPr>
        <w:t>9</w:t>
      </w:r>
      <w:r>
        <w:rPr>
          <w:noProof/>
        </w:rPr>
        <w:fldChar w:fldCharType="end"/>
      </w:r>
    </w:p>
    <w:p w14:paraId="39A1F8DF" w14:textId="51AEE358" w:rsidR="00094B2B" w:rsidRDefault="00094B2B">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_Toc5966624 \h </w:instrText>
      </w:r>
      <w:r>
        <w:rPr>
          <w:noProof/>
        </w:rPr>
      </w:r>
      <w:r>
        <w:rPr>
          <w:noProof/>
        </w:rPr>
        <w:fldChar w:fldCharType="separate"/>
      </w:r>
      <w:r w:rsidR="001F2B0C">
        <w:rPr>
          <w:noProof/>
        </w:rPr>
        <w:t>9</w:t>
      </w:r>
      <w:r>
        <w:rPr>
          <w:noProof/>
        </w:rPr>
        <w:fldChar w:fldCharType="end"/>
      </w:r>
    </w:p>
    <w:p w14:paraId="15D55643" w14:textId="6E6850A9" w:rsidR="00094B2B" w:rsidRDefault="00094B2B">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_Toc5966625 \h </w:instrText>
      </w:r>
      <w:r>
        <w:rPr>
          <w:noProof/>
        </w:rPr>
      </w:r>
      <w:r>
        <w:rPr>
          <w:noProof/>
        </w:rPr>
        <w:fldChar w:fldCharType="separate"/>
      </w:r>
      <w:r w:rsidR="001F2B0C">
        <w:rPr>
          <w:noProof/>
        </w:rPr>
        <w:t>10</w:t>
      </w:r>
      <w:r>
        <w:rPr>
          <w:noProof/>
        </w:rPr>
        <w:fldChar w:fldCharType="end"/>
      </w:r>
    </w:p>
    <w:p w14:paraId="4C194BAF" w14:textId="7C7E60C3" w:rsidR="001C6C9B" w:rsidRPr="00D12B8C" w:rsidRDefault="001C6C9B" w:rsidP="00D12B8C">
      <w:r>
        <w:fldChar w:fldCharType="end"/>
      </w:r>
    </w:p>
    <w:p w14:paraId="7DD78D3A" w14:textId="77777777" w:rsidR="007E1F66" w:rsidRDefault="007E1F66" w:rsidP="00462BB6">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462BB6">
      <w:pPr>
        <w:pStyle w:val="eTRMHeading3"/>
        <w:spacing w:before="20" w:after="20"/>
      </w:pPr>
      <w:bookmarkStart w:id="0" w:name="_Toc486490839"/>
      <w:bookmarkStart w:id="1" w:name="_Toc486580912"/>
      <w:bookmarkStart w:id="2" w:name="_Toc5966602"/>
      <w:r w:rsidRPr="007E1F66">
        <w:lastRenderedPageBreak/>
        <w:t>Measure Name</w:t>
      </w:r>
      <w:bookmarkEnd w:id="0"/>
      <w:bookmarkEnd w:id="1"/>
      <w:bookmarkEnd w:id="2"/>
    </w:p>
    <w:p w14:paraId="444DA14C" w14:textId="22C7025A" w:rsidR="00151553" w:rsidRDefault="00390C3B" w:rsidP="00151553">
      <w:r>
        <w:t>Pipe Wrap</w:t>
      </w:r>
      <w:r w:rsidR="007A258C">
        <w:t>, Residential</w:t>
      </w:r>
    </w:p>
    <w:p w14:paraId="447CCF0F" w14:textId="4656A388" w:rsidR="00520182" w:rsidRDefault="00520182" w:rsidP="00151553"/>
    <w:p w14:paraId="32CEC67B" w14:textId="7D0548E2" w:rsidR="00F860EE" w:rsidRPr="007E1F66" w:rsidRDefault="00F860EE" w:rsidP="00F860EE">
      <w:pPr>
        <w:pStyle w:val="eTRMHeading3"/>
        <w:spacing w:before="20" w:after="20"/>
      </w:pPr>
      <w:bookmarkStart w:id="3" w:name="_Toc5966603"/>
      <w:r>
        <w:t>Statewide Measure ID</w:t>
      </w:r>
      <w:bookmarkEnd w:id="3"/>
    </w:p>
    <w:p w14:paraId="04CC75C5" w14:textId="694BF719" w:rsidR="00F860EE" w:rsidRDefault="004C3EB7" w:rsidP="00151553">
      <w:r>
        <w:t>SW</w:t>
      </w:r>
      <w:r w:rsidR="005B45FF">
        <w:t>WH026-01</w:t>
      </w:r>
    </w:p>
    <w:p w14:paraId="372FD25B" w14:textId="77777777" w:rsidR="00F860EE" w:rsidRPr="00401C43" w:rsidRDefault="00F860EE" w:rsidP="00151553"/>
    <w:p w14:paraId="0F7CA2E6" w14:textId="77777777" w:rsidR="00E70CBD" w:rsidRPr="00154391" w:rsidRDefault="00E70CBD" w:rsidP="00462BB6">
      <w:pPr>
        <w:pStyle w:val="eTRMHeading3"/>
      </w:pPr>
      <w:bookmarkStart w:id="4" w:name="_Toc486490847"/>
      <w:bookmarkStart w:id="5" w:name="_Toc486580918"/>
      <w:bookmarkStart w:id="6" w:name="_Toc5966604"/>
      <w:r w:rsidRPr="00154391">
        <w:t>Technology Summary</w:t>
      </w:r>
      <w:bookmarkEnd w:id="4"/>
      <w:bookmarkEnd w:id="5"/>
      <w:bookmarkEnd w:id="6"/>
      <w:r w:rsidRPr="00154391">
        <w:t xml:space="preserve"> </w:t>
      </w:r>
    </w:p>
    <w:p w14:paraId="7D9A6377" w14:textId="3D885DD6" w:rsidR="007A258C" w:rsidRDefault="007A258C" w:rsidP="00026335">
      <w:pPr>
        <w:autoSpaceDE w:val="0"/>
        <w:autoSpaceDN w:val="0"/>
        <w:adjustRightInd w:val="0"/>
        <w:spacing w:before="0" w:after="0" w:line="240" w:lineRule="auto"/>
        <w:rPr>
          <w:rFonts w:cs="Calibri Light"/>
          <w:szCs w:val="22"/>
        </w:rPr>
      </w:pPr>
      <w:r>
        <w:rPr>
          <w:rFonts w:cs="Calibri Light"/>
          <w:szCs w:val="22"/>
        </w:rPr>
        <w:t>T</w:t>
      </w:r>
      <w:r w:rsidRPr="001474EA">
        <w:rPr>
          <w:rFonts w:cs="Calibri Light"/>
          <w:szCs w:val="22"/>
        </w:rPr>
        <w:t>he addition of insulation to hot water and cold</w:t>
      </w:r>
      <w:r>
        <w:rPr>
          <w:rFonts w:cs="Calibri Light"/>
          <w:szCs w:val="22"/>
        </w:rPr>
        <w:t>-</w:t>
      </w:r>
      <w:r w:rsidRPr="001474EA">
        <w:rPr>
          <w:rFonts w:cs="Calibri Light"/>
          <w:szCs w:val="22"/>
        </w:rPr>
        <w:t>water pipes</w:t>
      </w:r>
      <w:r>
        <w:rPr>
          <w:rFonts w:cs="Calibri Light"/>
          <w:szCs w:val="22"/>
        </w:rPr>
        <w:t>,</w:t>
      </w:r>
      <w:r w:rsidRPr="001474EA">
        <w:rPr>
          <w:rFonts w:cs="Calibri Light"/>
          <w:szCs w:val="22"/>
        </w:rPr>
        <w:t xml:space="preserve"> within </w:t>
      </w:r>
      <w:r>
        <w:rPr>
          <w:rFonts w:cs="Calibri Light"/>
          <w:szCs w:val="22"/>
        </w:rPr>
        <w:t xml:space="preserve">the first </w:t>
      </w:r>
      <w:r w:rsidRPr="001474EA">
        <w:rPr>
          <w:rFonts w:cs="Calibri Light"/>
          <w:szCs w:val="22"/>
        </w:rPr>
        <w:t xml:space="preserve">3 feet of a storage water heater </w:t>
      </w:r>
      <w:r>
        <w:rPr>
          <w:rFonts w:cs="Calibri Light"/>
          <w:szCs w:val="22"/>
        </w:rPr>
        <w:t>in</w:t>
      </w:r>
      <w:r w:rsidRPr="001474EA">
        <w:rPr>
          <w:rFonts w:cs="Calibri Light"/>
          <w:szCs w:val="22"/>
        </w:rPr>
        <w:t xml:space="preserve"> </w:t>
      </w:r>
      <w:r w:rsidR="000413F3">
        <w:rPr>
          <w:rFonts w:cs="Calibri Light"/>
          <w:szCs w:val="22"/>
        </w:rPr>
        <w:t>residential</w:t>
      </w:r>
      <w:r w:rsidRPr="001474EA">
        <w:rPr>
          <w:rFonts w:cs="Calibri Light"/>
          <w:szCs w:val="22"/>
        </w:rPr>
        <w:t xml:space="preserve"> residences</w:t>
      </w:r>
      <w:r>
        <w:rPr>
          <w:rFonts w:cs="Calibri Light"/>
          <w:szCs w:val="22"/>
        </w:rPr>
        <w:t>,</w:t>
      </w:r>
      <w:r w:rsidRPr="001474EA">
        <w:rPr>
          <w:rFonts w:cs="Calibri Light"/>
          <w:szCs w:val="22"/>
        </w:rPr>
        <w:t xml:space="preserve"> adds thermal resistance and forces the heat flux to be reduced in magnitude. As a result, the fluid in the pipe system can retain its temperature due to a reduction in the heat loss gradient. </w:t>
      </w:r>
      <w:r w:rsidR="00051561">
        <w:rPr>
          <w:rFonts w:cs="Calibri Light"/>
          <w:szCs w:val="22"/>
        </w:rPr>
        <w:t>Keeping the hot lines warmer and the cold lines colder</w:t>
      </w:r>
      <w:r w:rsidRPr="001474EA">
        <w:rPr>
          <w:rFonts w:cs="Calibri Light"/>
          <w:szCs w:val="22"/>
        </w:rPr>
        <w:t xml:space="preserve"> will allow the storage water heater to offset its energy demand and reduce its energy consumption. </w:t>
      </w:r>
    </w:p>
    <w:p w14:paraId="62959960" w14:textId="77777777" w:rsidR="007A258C" w:rsidRDefault="007A258C" w:rsidP="00026335">
      <w:pPr>
        <w:autoSpaceDE w:val="0"/>
        <w:autoSpaceDN w:val="0"/>
        <w:adjustRightInd w:val="0"/>
        <w:spacing w:before="0" w:after="0" w:line="240" w:lineRule="auto"/>
        <w:rPr>
          <w:rFonts w:cs="Calibri Light"/>
          <w:szCs w:val="22"/>
        </w:rPr>
      </w:pPr>
    </w:p>
    <w:p w14:paraId="0F20D8B6" w14:textId="6FEEE545" w:rsidR="00765B10" w:rsidRPr="00D9482F" w:rsidRDefault="00765B10" w:rsidP="00D9482F">
      <w:pPr>
        <w:autoSpaceDE w:val="0"/>
        <w:autoSpaceDN w:val="0"/>
        <w:adjustRightInd w:val="0"/>
        <w:spacing w:before="0" w:after="0" w:line="240" w:lineRule="auto"/>
        <w:rPr>
          <w:rFonts w:cs="Calibri Light"/>
          <w:szCs w:val="22"/>
        </w:rPr>
      </w:pPr>
      <w:r w:rsidRPr="00765B10">
        <w:rPr>
          <w:rFonts w:cs="Calibri Light"/>
          <w:szCs w:val="22"/>
        </w:rPr>
        <w:t>SoCalGas’s Res‐Direct Install (Res‐DI) program found many opportunities for pipe insulation on</w:t>
      </w:r>
      <w:r>
        <w:rPr>
          <w:rFonts w:cs="Calibri Light"/>
          <w:szCs w:val="22"/>
        </w:rPr>
        <w:t xml:space="preserve"> </w:t>
      </w:r>
      <w:r w:rsidRPr="00765B10">
        <w:rPr>
          <w:rFonts w:cs="Calibri Light"/>
          <w:szCs w:val="22"/>
        </w:rPr>
        <w:t xml:space="preserve">several feet of exposed hot and cold piping coming out of existing residential water heaters. </w:t>
      </w:r>
      <w:r w:rsidR="00D7216E">
        <w:rPr>
          <w:rFonts w:cs="Calibri Light"/>
          <w:szCs w:val="22"/>
        </w:rPr>
        <w:t xml:space="preserve"> </w:t>
      </w:r>
      <w:r w:rsidRPr="00765B10">
        <w:rPr>
          <w:rFonts w:cs="Calibri Light"/>
          <w:szCs w:val="22"/>
        </w:rPr>
        <w:t>F</w:t>
      </w:r>
      <w:r w:rsidR="000413F3">
        <w:rPr>
          <w:rFonts w:cs="Calibri Light"/>
          <w:szCs w:val="22"/>
        </w:rPr>
        <w:t>rom</w:t>
      </w:r>
      <w:r w:rsidRPr="00765B10">
        <w:rPr>
          <w:rFonts w:cs="Calibri Light"/>
          <w:szCs w:val="22"/>
        </w:rPr>
        <w:t xml:space="preserve"> February 2019 – March 2019, Res‐DI contractors collected data and took photos of</w:t>
      </w:r>
      <w:r>
        <w:rPr>
          <w:rFonts w:cs="Calibri Light"/>
          <w:szCs w:val="22"/>
        </w:rPr>
        <w:t xml:space="preserve"> </w:t>
      </w:r>
      <w:r w:rsidRPr="00765B10">
        <w:rPr>
          <w:rFonts w:cs="Calibri Light"/>
          <w:szCs w:val="22"/>
        </w:rPr>
        <w:t xml:space="preserve">homes where pipe wrap was feasible. </w:t>
      </w:r>
      <w:r w:rsidR="00055537">
        <w:rPr>
          <w:rFonts w:cs="Calibri Light"/>
          <w:szCs w:val="22"/>
        </w:rPr>
        <w:t>A total of</w:t>
      </w:r>
      <w:r w:rsidRPr="00765B10">
        <w:rPr>
          <w:rFonts w:cs="Calibri Light"/>
          <w:szCs w:val="22"/>
        </w:rPr>
        <w:t xml:space="preserve"> 93 homes were inspected</w:t>
      </w:r>
      <w:r w:rsidR="00B332CA">
        <w:rPr>
          <w:rFonts w:cs="Calibri Light"/>
          <w:szCs w:val="22"/>
        </w:rPr>
        <w:t>,</w:t>
      </w:r>
      <w:r w:rsidR="00055537">
        <w:rPr>
          <w:rFonts w:cs="Calibri Light"/>
          <w:szCs w:val="22"/>
        </w:rPr>
        <w:t xml:space="preserve"> and</w:t>
      </w:r>
      <w:r>
        <w:rPr>
          <w:rFonts w:cs="Calibri Light"/>
          <w:szCs w:val="22"/>
        </w:rPr>
        <w:t xml:space="preserve"> </w:t>
      </w:r>
      <w:r w:rsidRPr="00765B10">
        <w:rPr>
          <w:rFonts w:cs="Calibri Light"/>
          <w:szCs w:val="22"/>
        </w:rPr>
        <w:t xml:space="preserve">60% of them did not have existing pipe insulation on the water lines </w:t>
      </w:r>
      <w:r w:rsidRPr="00D9482F">
        <w:rPr>
          <w:rFonts w:cs="Calibri Light"/>
          <w:szCs w:val="22"/>
        </w:rPr>
        <w:t>coming from the water heater into the adjacent wall</w:t>
      </w:r>
      <w:r w:rsidR="00B332CA">
        <w:rPr>
          <w:rFonts w:cs="Calibri Light"/>
          <w:szCs w:val="22"/>
        </w:rPr>
        <w:t>.  T</w:t>
      </w:r>
      <w:r w:rsidR="00D9482F" w:rsidRPr="00D9482F">
        <w:rPr>
          <w:rFonts w:cs="Calibri Light"/>
          <w:szCs w:val="22"/>
        </w:rPr>
        <w:t>here was on average 3.6 feet of</w:t>
      </w:r>
      <w:r w:rsidR="00D9482F">
        <w:rPr>
          <w:rFonts w:cs="Calibri Light"/>
          <w:szCs w:val="22"/>
        </w:rPr>
        <w:t xml:space="preserve"> </w:t>
      </w:r>
      <w:r w:rsidR="00D9482F" w:rsidRPr="00D9482F">
        <w:rPr>
          <w:rFonts w:cs="Calibri Light"/>
          <w:szCs w:val="22"/>
        </w:rPr>
        <w:t>exposed pipe</w:t>
      </w:r>
      <w:r w:rsidR="002D1A29">
        <w:rPr>
          <w:rFonts w:cs="Calibri Light"/>
          <w:szCs w:val="22"/>
        </w:rPr>
        <w:t xml:space="preserve"> for </w:t>
      </w:r>
      <w:r w:rsidR="00B332CA">
        <w:rPr>
          <w:rFonts w:cs="Calibri Light"/>
          <w:szCs w:val="22"/>
        </w:rPr>
        <w:t>each water line.</w:t>
      </w:r>
    </w:p>
    <w:p w14:paraId="30CC5B4A" w14:textId="77777777" w:rsidR="00765B10" w:rsidRPr="00765B10" w:rsidRDefault="00765B10" w:rsidP="00026335">
      <w:pPr>
        <w:autoSpaceDE w:val="0"/>
        <w:autoSpaceDN w:val="0"/>
        <w:adjustRightInd w:val="0"/>
        <w:spacing w:before="0" w:after="0" w:line="240" w:lineRule="auto"/>
        <w:rPr>
          <w:rFonts w:cs="Calibri Light"/>
          <w:szCs w:val="22"/>
        </w:rPr>
      </w:pPr>
    </w:p>
    <w:p w14:paraId="5E1117E6" w14:textId="3C11053D" w:rsidR="00A467DE" w:rsidRPr="00765B10" w:rsidRDefault="00387C70" w:rsidP="00026335">
      <w:pPr>
        <w:autoSpaceDE w:val="0"/>
        <w:autoSpaceDN w:val="0"/>
        <w:adjustRightInd w:val="0"/>
        <w:spacing w:before="0" w:after="0" w:line="240" w:lineRule="auto"/>
        <w:rPr>
          <w:rFonts w:cs="Calibri Light"/>
          <w:szCs w:val="22"/>
        </w:rPr>
      </w:pPr>
      <w:r>
        <w:rPr>
          <w:rFonts w:cs="Calibri Light"/>
          <w:szCs w:val="22"/>
        </w:rPr>
        <w:t>Lab</w:t>
      </w:r>
      <w:r w:rsidR="00026335" w:rsidRPr="00765B10">
        <w:rPr>
          <w:rFonts w:cs="Calibri Light"/>
          <w:szCs w:val="22"/>
        </w:rPr>
        <w:t xml:space="preserve"> test</w:t>
      </w:r>
      <w:r>
        <w:rPr>
          <w:rFonts w:cs="Calibri Light"/>
          <w:szCs w:val="22"/>
        </w:rPr>
        <w:t>s</w:t>
      </w:r>
      <w:r w:rsidR="00026335" w:rsidRPr="00765B10">
        <w:rPr>
          <w:rFonts w:cs="Calibri Light"/>
          <w:szCs w:val="22"/>
        </w:rPr>
        <w:t xml:space="preserve"> </w:t>
      </w:r>
      <w:r>
        <w:rPr>
          <w:rFonts w:cs="Calibri Light"/>
          <w:szCs w:val="22"/>
        </w:rPr>
        <w:t>were also</w:t>
      </w:r>
      <w:r w:rsidR="00026335" w:rsidRPr="00765B10">
        <w:rPr>
          <w:rFonts w:cs="Calibri Light"/>
          <w:szCs w:val="22"/>
        </w:rPr>
        <w:t xml:space="preserve"> performed within SoCalGas’s water heating demo lab</w:t>
      </w:r>
      <w:r>
        <w:rPr>
          <w:rFonts w:cs="Calibri Light"/>
          <w:szCs w:val="22"/>
        </w:rPr>
        <w:t xml:space="preserve"> to further show</w:t>
      </w:r>
      <w:r w:rsidR="008449DE">
        <w:rPr>
          <w:rFonts w:cs="Calibri Light"/>
          <w:szCs w:val="22"/>
        </w:rPr>
        <w:t xml:space="preserve"> the potential for energy savings of this technology</w:t>
      </w:r>
      <w:r w:rsidR="00026335" w:rsidRPr="00765B10">
        <w:rPr>
          <w:rFonts w:cs="Calibri Light"/>
          <w:szCs w:val="22"/>
        </w:rPr>
        <w:t>. SoCalGas</w:t>
      </w:r>
      <w:r w:rsidR="008449DE">
        <w:rPr>
          <w:rFonts w:cs="Calibri Light"/>
          <w:szCs w:val="22"/>
        </w:rPr>
        <w:t xml:space="preserve"> </w:t>
      </w:r>
      <w:r w:rsidR="00026335" w:rsidRPr="00765B10">
        <w:rPr>
          <w:rFonts w:cs="Calibri Light"/>
          <w:szCs w:val="22"/>
        </w:rPr>
        <w:t>Engineering Services attached thermocouples to measure</w:t>
      </w:r>
      <w:r w:rsidR="008449DE">
        <w:rPr>
          <w:rFonts w:cs="Calibri Light"/>
          <w:szCs w:val="22"/>
        </w:rPr>
        <w:t xml:space="preserve"> </w:t>
      </w:r>
      <w:r w:rsidR="00026335" w:rsidRPr="00765B10">
        <w:rPr>
          <w:rFonts w:cs="Calibri Light"/>
          <w:szCs w:val="22"/>
        </w:rPr>
        <w:t xml:space="preserve">the temperature about </w:t>
      </w:r>
      <w:r w:rsidR="00DB009F">
        <w:rPr>
          <w:rFonts w:cs="Calibri Light"/>
          <w:szCs w:val="22"/>
        </w:rPr>
        <w:t>various</w:t>
      </w:r>
      <w:r w:rsidR="00026335" w:rsidRPr="00765B10">
        <w:rPr>
          <w:rFonts w:cs="Calibri Light"/>
          <w:szCs w:val="22"/>
        </w:rPr>
        <w:t xml:space="preserve"> areas of</w:t>
      </w:r>
      <w:r w:rsidR="008449DE">
        <w:rPr>
          <w:rFonts w:cs="Calibri Light"/>
          <w:szCs w:val="22"/>
        </w:rPr>
        <w:t xml:space="preserve"> </w:t>
      </w:r>
      <w:r w:rsidR="00026335" w:rsidRPr="00765B10">
        <w:rPr>
          <w:rFonts w:cs="Calibri Light"/>
          <w:szCs w:val="22"/>
        </w:rPr>
        <w:t>an idle water heater.</w:t>
      </w:r>
      <w:r w:rsidR="00DB009F">
        <w:rPr>
          <w:rFonts w:cs="Calibri Light"/>
          <w:szCs w:val="22"/>
        </w:rPr>
        <w:t xml:space="preserve"> </w:t>
      </w:r>
      <w:r w:rsidR="00EA35B5">
        <w:rPr>
          <w:rFonts w:cs="Calibri Light"/>
          <w:szCs w:val="22"/>
        </w:rPr>
        <w:t>Using t</w:t>
      </w:r>
      <w:r w:rsidR="00026335" w:rsidRPr="00765B10">
        <w:rPr>
          <w:rFonts w:cs="Calibri Light"/>
          <w:szCs w:val="22"/>
        </w:rPr>
        <w:t>h</w:t>
      </w:r>
      <w:r w:rsidR="00EA35B5">
        <w:rPr>
          <w:rFonts w:cs="Calibri Light"/>
          <w:szCs w:val="22"/>
        </w:rPr>
        <w:t>e</w:t>
      </w:r>
      <w:r w:rsidR="00026335" w:rsidRPr="00765B10">
        <w:rPr>
          <w:rFonts w:cs="Calibri Light"/>
          <w:szCs w:val="22"/>
        </w:rPr>
        <w:t xml:space="preserve"> data</w:t>
      </w:r>
      <w:r w:rsidR="00C60382">
        <w:rPr>
          <w:rStyle w:val="FootnoteReference"/>
          <w:rFonts w:cs="Calibri Light"/>
          <w:szCs w:val="22"/>
        </w:rPr>
        <w:footnoteReference w:id="1"/>
      </w:r>
      <w:r w:rsidR="00EA35B5">
        <w:rPr>
          <w:rFonts w:cs="Calibri Light"/>
          <w:szCs w:val="22"/>
        </w:rPr>
        <w:t xml:space="preserve"> collected</w:t>
      </w:r>
      <w:r w:rsidR="00026335" w:rsidRPr="00765B10">
        <w:rPr>
          <w:rFonts w:cs="Calibri Light"/>
          <w:szCs w:val="22"/>
        </w:rPr>
        <w:t>, SoCalGas found that there is opportunity to reduce heat loss in both the</w:t>
      </w:r>
      <w:r w:rsidR="00595533">
        <w:rPr>
          <w:rFonts w:cs="Calibri Light"/>
          <w:szCs w:val="22"/>
        </w:rPr>
        <w:t xml:space="preserve"> </w:t>
      </w:r>
      <w:r w:rsidR="00026335" w:rsidRPr="00765B10">
        <w:rPr>
          <w:rFonts w:cs="Calibri Light"/>
          <w:szCs w:val="22"/>
        </w:rPr>
        <w:t>hot and cold‐water lines while the water heater is idling</w:t>
      </w:r>
      <w:r w:rsidR="00035718">
        <w:rPr>
          <w:rFonts w:cs="Calibri Light"/>
          <w:szCs w:val="22"/>
        </w:rPr>
        <w:t xml:space="preserve"> by adding insulation</w:t>
      </w:r>
      <w:r w:rsidR="00026335" w:rsidRPr="00765B10">
        <w:rPr>
          <w:rFonts w:cs="Calibri Light"/>
          <w:szCs w:val="22"/>
        </w:rPr>
        <w:t>. Line temperatures while idle were significantly</w:t>
      </w:r>
      <w:r w:rsidR="00595533">
        <w:rPr>
          <w:rFonts w:cs="Calibri Light"/>
          <w:szCs w:val="22"/>
        </w:rPr>
        <w:t xml:space="preserve"> </w:t>
      </w:r>
      <w:r w:rsidR="00026335" w:rsidRPr="00765B10">
        <w:rPr>
          <w:rFonts w:cs="Calibri Light"/>
          <w:szCs w:val="22"/>
        </w:rPr>
        <w:t>above ambient temperature, about 10 °F</w:t>
      </w:r>
      <w:r w:rsidR="00595533">
        <w:rPr>
          <w:rFonts w:cs="Calibri Light"/>
          <w:szCs w:val="22"/>
        </w:rPr>
        <w:t>.</w:t>
      </w:r>
    </w:p>
    <w:p w14:paraId="0221F0E4" w14:textId="77777777" w:rsidR="00026335" w:rsidRPr="001474EA" w:rsidRDefault="00026335" w:rsidP="00026335">
      <w:pPr>
        <w:autoSpaceDE w:val="0"/>
        <w:autoSpaceDN w:val="0"/>
        <w:adjustRightInd w:val="0"/>
        <w:spacing w:before="0" w:after="0" w:line="240" w:lineRule="auto"/>
        <w:rPr>
          <w:rFonts w:cs="Calibri Light"/>
          <w:szCs w:val="22"/>
        </w:rPr>
      </w:pPr>
    </w:p>
    <w:p w14:paraId="11D63EE3" w14:textId="29C53160" w:rsidR="00390C3B" w:rsidRPr="00390C3B" w:rsidRDefault="00390C3B" w:rsidP="00390C3B">
      <w:pPr>
        <w:autoSpaceDE w:val="0"/>
        <w:autoSpaceDN w:val="0"/>
        <w:adjustRightInd w:val="0"/>
        <w:spacing w:before="0" w:after="0" w:line="240" w:lineRule="auto"/>
        <w:rPr>
          <w:rFonts w:ascii="Calibri-Light" w:hAnsi="Calibri-Light" w:cs="Calibri-Light"/>
          <w:szCs w:val="22"/>
        </w:rPr>
      </w:pPr>
    </w:p>
    <w:p w14:paraId="5AF18021" w14:textId="77777777" w:rsidR="007D230B" w:rsidRPr="004B06E3" w:rsidRDefault="007D230B" w:rsidP="00462BB6">
      <w:pPr>
        <w:pStyle w:val="eTRMHeading3"/>
      </w:pPr>
      <w:bookmarkStart w:id="7" w:name="_Toc486490848"/>
      <w:bookmarkStart w:id="8" w:name="_Toc486580919"/>
      <w:bookmarkStart w:id="9" w:name="_Toc5966605"/>
      <w:r w:rsidRPr="004B06E3">
        <w:t>Measure Case Description</w:t>
      </w:r>
      <w:bookmarkEnd w:id="7"/>
      <w:bookmarkEnd w:id="8"/>
      <w:bookmarkEnd w:id="9"/>
    </w:p>
    <w:p w14:paraId="6DFD1765" w14:textId="3D178B1D" w:rsidR="00A67322" w:rsidRPr="00390C3B" w:rsidRDefault="00523F9B" w:rsidP="00390C3B">
      <w:pPr>
        <w:autoSpaceDE w:val="0"/>
        <w:autoSpaceDN w:val="0"/>
        <w:adjustRightInd w:val="0"/>
        <w:spacing w:before="0" w:after="0" w:line="240" w:lineRule="auto"/>
        <w:rPr>
          <w:rFonts w:cs="Calibri Light"/>
          <w:szCs w:val="22"/>
        </w:rPr>
      </w:pPr>
      <w:r w:rsidRPr="00E9675D">
        <w:rPr>
          <w:rFonts w:cs="Calibri Light"/>
        </w:rPr>
        <w:t xml:space="preserve">The measure case is defined as </w:t>
      </w:r>
      <w:r w:rsidR="00390C3B" w:rsidRPr="00E9675D">
        <w:rPr>
          <w:rFonts w:cs="Calibri Light"/>
          <w:szCs w:val="22"/>
        </w:rPr>
        <w:t xml:space="preserve">the installation of </w:t>
      </w:r>
      <w:r w:rsidR="00C11B86" w:rsidRPr="00E9675D">
        <w:rPr>
          <w:rFonts w:cs="Calibri Light"/>
          <w:szCs w:val="22"/>
        </w:rPr>
        <w:t xml:space="preserve">minimum </w:t>
      </w:r>
      <w:proofErr w:type="gramStart"/>
      <w:r w:rsidR="00C11B86" w:rsidRPr="00E9675D">
        <w:rPr>
          <w:rFonts w:cs="Calibri Light"/>
          <w:szCs w:val="22"/>
        </w:rPr>
        <w:t>1</w:t>
      </w:r>
      <w:r w:rsidR="00302F0E">
        <w:rPr>
          <w:rFonts w:cs="Calibri Light"/>
          <w:szCs w:val="22"/>
        </w:rPr>
        <w:t xml:space="preserve"> inch</w:t>
      </w:r>
      <w:proofErr w:type="gramEnd"/>
      <w:r w:rsidR="00390C3B" w:rsidRPr="00E9675D">
        <w:rPr>
          <w:rFonts w:cs="Calibri Light"/>
          <w:szCs w:val="22"/>
        </w:rPr>
        <w:t xml:space="preserve"> insulation to an existing bare pipe system </w:t>
      </w:r>
      <w:r w:rsidR="00035718">
        <w:rPr>
          <w:rFonts w:cs="Calibri Light"/>
          <w:szCs w:val="22"/>
        </w:rPr>
        <w:t xml:space="preserve">on a storage water heater </w:t>
      </w:r>
      <w:r w:rsidR="00C11B86" w:rsidRPr="00E9675D">
        <w:rPr>
          <w:rFonts w:cs="Calibri Light"/>
          <w:szCs w:val="22"/>
        </w:rPr>
        <w:t>as de</w:t>
      </w:r>
      <w:r w:rsidR="00E9675D" w:rsidRPr="00E9675D">
        <w:rPr>
          <w:rFonts w:cs="Calibri Light"/>
          <w:szCs w:val="22"/>
        </w:rPr>
        <w:t xml:space="preserve">scribed in the </w:t>
      </w:r>
      <w:r w:rsidR="00035718">
        <w:rPr>
          <w:rFonts w:cs="Calibri Light"/>
          <w:szCs w:val="22"/>
        </w:rPr>
        <w:t>T</w:t>
      </w:r>
      <w:r w:rsidR="00C83E6A" w:rsidRPr="00E9675D">
        <w:rPr>
          <w:rFonts w:cs="Calibri Light"/>
          <w:szCs w:val="22"/>
        </w:rPr>
        <w:t>echnology</w:t>
      </w:r>
      <w:r w:rsidR="00E9675D" w:rsidRPr="00E9675D">
        <w:rPr>
          <w:rFonts w:cs="Calibri Light"/>
          <w:szCs w:val="22"/>
        </w:rPr>
        <w:t xml:space="preserve"> </w:t>
      </w:r>
      <w:r w:rsidR="00035718">
        <w:rPr>
          <w:rFonts w:cs="Calibri Light"/>
          <w:szCs w:val="22"/>
        </w:rPr>
        <w:t>S</w:t>
      </w:r>
      <w:r w:rsidR="00E9675D" w:rsidRPr="00E9675D">
        <w:rPr>
          <w:rFonts w:cs="Calibri Light"/>
          <w:szCs w:val="22"/>
        </w:rPr>
        <w:t>ummary</w:t>
      </w:r>
      <w:r w:rsidR="00035718">
        <w:rPr>
          <w:rFonts w:cs="Calibri Light"/>
          <w:szCs w:val="22"/>
        </w:rPr>
        <w:t xml:space="preserve"> section</w:t>
      </w:r>
      <w:r w:rsidR="00390C3B" w:rsidRPr="00E9675D">
        <w:rPr>
          <w:rFonts w:cs="Calibri Light"/>
          <w:szCs w:val="22"/>
        </w:rPr>
        <w:t xml:space="preserve">. Specifications are established by pipe diameter and assume </w:t>
      </w:r>
      <w:proofErr w:type="gramStart"/>
      <w:r w:rsidR="00390C3B" w:rsidRPr="00E9675D">
        <w:rPr>
          <w:rFonts w:cs="Calibri Light"/>
          <w:szCs w:val="22"/>
        </w:rPr>
        <w:t>1</w:t>
      </w:r>
      <w:r w:rsidR="00302F0E">
        <w:rPr>
          <w:rFonts w:cs="Calibri Light"/>
          <w:szCs w:val="22"/>
        </w:rPr>
        <w:t xml:space="preserve"> inch</w:t>
      </w:r>
      <w:proofErr w:type="gramEnd"/>
      <w:r w:rsidR="00390C3B" w:rsidRPr="00E9675D">
        <w:rPr>
          <w:rFonts w:cs="Calibri Light"/>
          <w:szCs w:val="22"/>
        </w:rPr>
        <w:t xml:space="preserve"> insulation. Note that savings are calculated for each measure offering by building type and by climate zone.</w:t>
      </w:r>
    </w:p>
    <w:p w14:paraId="428D3761" w14:textId="77777777" w:rsidR="00DA6088" w:rsidRPr="000C5BA6" w:rsidRDefault="00DA6088" w:rsidP="00DA6088">
      <w:pPr>
        <w:rPr>
          <w:szCs w:val="22"/>
        </w:rPr>
      </w:pPr>
    </w:p>
    <w:p w14:paraId="54FD79D6" w14:textId="77777777" w:rsidR="00E70CBD" w:rsidRPr="00171BB8" w:rsidRDefault="00E70CBD" w:rsidP="00462BB6">
      <w:pPr>
        <w:pStyle w:val="eTRMHeading3"/>
      </w:pPr>
      <w:bookmarkStart w:id="10" w:name="_Toc486490849"/>
      <w:bookmarkStart w:id="11" w:name="_Toc486580920"/>
      <w:bookmarkStart w:id="12" w:name="_Toc5966606"/>
      <w:r w:rsidRPr="004B06E3">
        <w:lastRenderedPageBreak/>
        <w:t>Base Case Description</w:t>
      </w:r>
      <w:bookmarkEnd w:id="10"/>
      <w:bookmarkEnd w:id="11"/>
      <w:bookmarkEnd w:id="12"/>
      <w:r w:rsidRPr="00171BB8">
        <w:t xml:space="preserve"> </w:t>
      </w:r>
    </w:p>
    <w:p w14:paraId="6D67F546" w14:textId="4B409B7F" w:rsidR="00A67322" w:rsidRPr="001474EA" w:rsidRDefault="00F8464D" w:rsidP="00DA6088">
      <w:pPr>
        <w:rPr>
          <w:rFonts w:cs="Calibri Light"/>
        </w:rPr>
      </w:pPr>
      <w:r w:rsidRPr="001474EA">
        <w:rPr>
          <w:rFonts w:cs="Calibri Light"/>
        </w:rPr>
        <w:t>The base case is defined a</w:t>
      </w:r>
      <w:r w:rsidR="00842770">
        <w:rPr>
          <w:rFonts w:cs="Calibri Light"/>
        </w:rPr>
        <w:t xml:space="preserve">s </w:t>
      </w:r>
      <w:r w:rsidR="00017097" w:rsidRPr="001474EA">
        <w:rPr>
          <w:rFonts w:cs="Calibri Light"/>
          <w:szCs w:val="22"/>
        </w:rPr>
        <w:t>existing</w:t>
      </w:r>
      <w:r w:rsidR="00390C3B" w:rsidRPr="001474EA">
        <w:rPr>
          <w:rFonts w:cs="Calibri Light"/>
          <w:szCs w:val="22"/>
        </w:rPr>
        <w:t xml:space="preserve"> bare (un-insulated)</w:t>
      </w:r>
      <w:r w:rsidR="003D623C">
        <w:rPr>
          <w:rFonts w:cs="Calibri Light"/>
          <w:szCs w:val="22"/>
        </w:rPr>
        <w:t xml:space="preserve"> pipe</w:t>
      </w:r>
      <w:r w:rsidR="00390C3B" w:rsidRPr="001474EA">
        <w:rPr>
          <w:rFonts w:cs="Calibri Light"/>
          <w:szCs w:val="22"/>
        </w:rPr>
        <w:t xml:space="preserve"> </w:t>
      </w:r>
      <w:r w:rsidR="00C53195">
        <w:rPr>
          <w:rFonts w:cs="Calibri Light"/>
          <w:szCs w:val="22"/>
        </w:rPr>
        <w:t>within the</w:t>
      </w:r>
      <w:r w:rsidR="002276A6" w:rsidRPr="001474EA">
        <w:rPr>
          <w:rFonts w:cs="Calibri Light"/>
          <w:szCs w:val="22"/>
        </w:rPr>
        <w:t xml:space="preserve"> first 3 feet of both hot water and </w:t>
      </w:r>
      <w:r w:rsidR="001474EA" w:rsidRPr="001474EA">
        <w:rPr>
          <w:rFonts w:cs="Calibri Light"/>
          <w:szCs w:val="22"/>
        </w:rPr>
        <w:t>cold</w:t>
      </w:r>
      <w:r w:rsidR="00055537">
        <w:rPr>
          <w:rFonts w:cs="Calibri Light"/>
          <w:szCs w:val="22"/>
        </w:rPr>
        <w:t>-</w:t>
      </w:r>
      <w:r w:rsidR="001474EA" w:rsidRPr="001474EA">
        <w:rPr>
          <w:rFonts w:cs="Calibri Light"/>
          <w:szCs w:val="22"/>
        </w:rPr>
        <w:t>water supply</w:t>
      </w:r>
      <w:r w:rsidR="00035718">
        <w:rPr>
          <w:rFonts w:cs="Calibri Light"/>
          <w:szCs w:val="22"/>
        </w:rPr>
        <w:t xml:space="preserve"> lines</w:t>
      </w:r>
      <w:r w:rsidR="001474EA" w:rsidRPr="001474EA">
        <w:rPr>
          <w:rFonts w:cs="Calibri Light"/>
          <w:szCs w:val="22"/>
        </w:rPr>
        <w:t xml:space="preserve"> </w:t>
      </w:r>
      <w:r w:rsidR="00E9675D" w:rsidRPr="001474EA">
        <w:rPr>
          <w:rFonts w:cs="Calibri Light"/>
          <w:szCs w:val="22"/>
        </w:rPr>
        <w:t>connected to a storage water heater</w:t>
      </w:r>
      <w:r w:rsidR="002276A6" w:rsidRPr="001474EA">
        <w:rPr>
          <w:rFonts w:cs="Calibri Light"/>
          <w:szCs w:val="22"/>
        </w:rPr>
        <w:t xml:space="preserve"> </w:t>
      </w:r>
      <w:r w:rsidR="00E9675D" w:rsidRPr="001474EA">
        <w:rPr>
          <w:rFonts w:cs="Calibri Light"/>
          <w:szCs w:val="22"/>
        </w:rPr>
        <w:t>at single family, multi-</w:t>
      </w:r>
      <w:proofErr w:type="gramStart"/>
      <w:r w:rsidR="00E9675D" w:rsidRPr="001474EA">
        <w:rPr>
          <w:rFonts w:cs="Calibri Light"/>
          <w:szCs w:val="22"/>
        </w:rPr>
        <w:t>family</w:t>
      </w:r>
      <w:proofErr w:type="gramEnd"/>
      <w:r w:rsidR="00E9675D" w:rsidRPr="001474EA">
        <w:rPr>
          <w:rFonts w:cs="Calibri Light"/>
          <w:szCs w:val="22"/>
        </w:rPr>
        <w:t xml:space="preserve"> and mobile home residences.  </w:t>
      </w:r>
      <w:r w:rsidR="00F1022C" w:rsidRPr="001474EA">
        <w:rPr>
          <w:rFonts w:cs="Calibri Light"/>
          <w:szCs w:val="22"/>
        </w:rPr>
        <w:t xml:space="preserve">  </w:t>
      </w:r>
    </w:p>
    <w:p w14:paraId="2A6B53FD" w14:textId="77777777" w:rsidR="006007C4" w:rsidRPr="00D60987" w:rsidRDefault="006007C4" w:rsidP="00DA6088"/>
    <w:p w14:paraId="7D9DA4A6" w14:textId="77777777" w:rsidR="007D230B" w:rsidRPr="00171BB8" w:rsidRDefault="007D230B" w:rsidP="004F705B">
      <w:pPr>
        <w:pStyle w:val="eTRMHeading3"/>
      </w:pPr>
      <w:bookmarkStart w:id="13" w:name="_Toc486490850"/>
      <w:bookmarkStart w:id="14" w:name="_Toc486580921"/>
      <w:bookmarkStart w:id="15" w:name="_Toc5966607"/>
      <w:r w:rsidRPr="004B06E3">
        <w:t>Code Requirements</w:t>
      </w:r>
      <w:bookmarkEnd w:id="13"/>
      <w:bookmarkEnd w:id="14"/>
      <w:bookmarkEnd w:id="15"/>
    </w:p>
    <w:p w14:paraId="23F647D3" w14:textId="192B4F12" w:rsidR="00F1022C" w:rsidRPr="00BB018A" w:rsidRDefault="00F1022C" w:rsidP="00D0761C">
      <w:pPr>
        <w:rPr>
          <w:rFonts w:cs="Calibri Light"/>
          <w:szCs w:val="22"/>
        </w:rPr>
      </w:pPr>
      <w:r w:rsidRPr="00BB018A">
        <w:rPr>
          <w:rFonts w:cs="Calibri Light"/>
          <w:szCs w:val="22"/>
        </w:rPr>
        <w:t xml:space="preserve">Applicable federal and state codes are shown </w:t>
      </w:r>
      <w:r w:rsidR="008B2B0D">
        <w:rPr>
          <w:rFonts w:cs="Calibri Light"/>
          <w:szCs w:val="22"/>
        </w:rPr>
        <w:t xml:space="preserve">in the table </w:t>
      </w:r>
      <w:r w:rsidRPr="00BB018A">
        <w:rPr>
          <w:rFonts w:cs="Calibri Light"/>
          <w:szCs w:val="22"/>
        </w:rPr>
        <w:t>below. The application of the pipe insulation to hot fluid piping, as required by the 2016 California Building Energy Efficiency Standards (Title 24)</w:t>
      </w:r>
      <w:r w:rsidR="00A03F5B">
        <w:rPr>
          <w:rStyle w:val="FootnoteReference"/>
          <w:rFonts w:cs="Calibri Light"/>
          <w:szCs w:val="22"/>
        </w:rPr>
        <w:footnoteReference w:id="2"/>
      </w:r>
      <w:r w:rsidRPr="00BB018A">
        <w:rPr>
          <w:rFonts w:cs="Calibri Light"/>
          <w:szCs w:val="22"/>
        </w:rPr>
        <w:t xml:space="preserve"> and the federal </w:t>
      </w:r>
      <w:r w:rsidRPr="00BB018A">
        <w:rPr>
          <w:rFonts w:cs="Calibri Light"/>
          <w:color w:val="000000"/>
          <w:szCs w:val="22"/>
        </w:rPr>
        <w:t>Occupational Safety and Health Administration (OSHA) Standard</w:t>
      </w:r>
      <w:r w:rsidR="00A03F5B">
        <w:rPr>
          <w:rStyle w:val="FootnoteReference"/>
          <w:rFonts w:cs="Calibri Light"/>
          <w:color w:val="000000"/>
          <w:szCs w:val="22"/>
        </w:rPr>
        <w:footnoteReference w:id="3"/>
      </w:r>
      <w:r w:rsidRPr="00BB018A">
        <w:rPr>
          <w:rFonts w:cs="Calibri Light"/>
          <w:color w:val="000000"/>
          <w:szCs w:val="22"/>
        </w:rPr>
        <w:t xml:space="preserve"> does not apply to this measure. </w:t>
      </w:r>
      <w:r w:rsidRPr="00BB018A">
        <w:rPr>
          <w:rFonts w:cs="Calibri Light"/>
          <w:color w:val="191919"/>
          <w:szCs w:val="22"/>
        </w:rPr>
        <w:t xml:space="preserve">  </w:t>
      </w:r>
    </w:p>
    <w:p w14:paraId="7E96141F" w14:textId="7A774D87" w:rsidR="00FD2C54" w:rsidRDefault="00FD2C54" w:rsidP="00EA057C">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154391" w:rsidRDefault="00FC77BB" w:rsidP="00190874">
            <w:pPr>
              <w:keepNext/>
              <w:keepLines/>
              <w:spacing w:before="0" w:after="0" w:line="240" w:lineRule="auto"/>
              <w:rPr>
                <w:b/>
                <w:sz w:val="20"/>
                <w:szCs w:val="20"/>
              </w:rPr>
            </w:pPr>
            <w:r w:rsidRPr="0079498E">
              <w:rPr>
                <w:b/>
                <w:sz w:val="20"/>
              </w:rPr>
              <w:t>Code</w:t>
            </w:r>
          </w:p>
        </w:tc>
        <w:tc>
          <w:tcPr>
            <w:tcW w:w="2340" w:type="dxa"/>
            <w:shd w:val="clear" w:color="auto" w:fill="F2F2F2" w:themeFill="background1" w:themeFillShade="F2"/>
            <w:vAlign w:val="bottom"/>
          </w:tcPr>
          <w:p w14:paraId="2A51DAFB" w14:textId="77777777" w:rsidR="00FC77BB" w:rsidRPr="00154391" w:rsidRDefault="00FC77BB" w:rsidP="00190874">
            <w:pPr>
              <w:keepNext/>
              <w:keepLines/>
              <w:spacing w:before="0" w:after="0" w:line="240" w:lineRule="auto"/>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190874">
            <w:pPr>
              <w:keepNext/>
              <w:keepLines/>
              <w:spacing w:before="0" w:after="0" w:line="240" w:lineRule="auto"/>
              <w:jc w:val="center"/>
              <w:rPr>
                <w:b/>
                <w:sz w:val="20"/>
                <w:szCs w:val="20"/>
              </w:rPr>
            </w:pPr>
            <w:r w:rsidRPr="0079498E">
              <w:rPr>
                <w:b/>
                <w:sz w:val="20"/>
              </w:rPr>
              <w:t>Effective Date</w:t>
            </w:r>
          </w:p>
        </w:tc>
      </w:tr>
      <w:tr w:rsidR="00FC77BB" w:rsidRPr="00FB030E" w14:paraId="782F7264" w14:textId="345CFA23" w:rsidTr="00FC77BB">
        <w:trPr>
          <w:cantSplit/>
          <w:trHeight w:val="20"/>
        </w:trPr>
        <w:tc>
          <w:tcPr>
            <w:tcW w:w="4765" w:type="dxa"/>
            <w:shd w:val="clear" w:color="auto" w:fill="auto"/>
          </w:tcPr>
          <w:p w14:paraId="67BA833F" w14:textId="4DA2CEF2" w:rsidR="00FC77BB" w:rsidRPr="00BD6838" w:rsidRDefault="00FC77BB" w:rsidP="00190874">
            <w:pPr>
              <w:keepNext/>
              <w:keepLines/>
              <w:spacing w:before="0" w:after="0" w:line="240" w:lineRule="auto"/>
              <w:rPr>
                <w:sz w:val="20"/>
                <w:szCs w:val="20"/>
              </w:rPr>
            </w:pPr>
            <w:r w:rsidRPr="00BD6838">
              <w:rPr>
                <w:sz w:val="20"/>
              </w:rPr>
              <w:t>C</w:t>
            </w:r>
            <w:r w:rsidR="00D96673">
              <w:rPr>
                <w:sz w:val="20"/>
              </w:rPr>
              <w:t>alifornia Plumbing Code</w:t>
            </w:r>
            <w:r w:rsidRPr="00BD6838">
              <w:rPr>
                <w:sz w:val="20"/>
              </w:rPr>
              <w:t xml:space="preserve"> </w:t>
            </w:r>
          </w:p>
        </w:tc>
        <w:tc>
          <w:tcPr>
            <w:tcW w:w="2340" w:type="dxa"/>
            <w:shd w:val="clear" w:color="auto" w:fill="auto"/>
          </w:tcPr>
          <w:p w14:paraId="794A0264" w14:textId="570C6B51" w:rsidR="00FC77BB" w:rsidRPr="00FB030E" w:rsidRDefault="00F1022C" w:rsidP="00190874">
            <w:pPr>
              <w:keepNext/>
              <w:keepLines/>
              <w:spacing w:before="0" w:after="0" w:line="240" w:lineRule="auto"/>
              <w:rPr>
                <w:sz w:val="20"/>
                <w:szCs w:val="20"/>
              </w:rPr>
            </w:pPr>
            <w:r>
              <w:rPr>
                <w:sz w:val="20"/>
                <w:szCs w:val="20"/>
              </w:rPr>
              <w:t>none</w:t>
            </w:r>
          </w:p>
        </w:tc>
        <w:tc>
          <w:tcPr>
            <w:tcW w:w="2430" w:type="dxa"/>
            <w:shd w:val="clear" w:color="auto" w:fill="auto"/>
          </w:tcPr>
          <w:p w14:paraId="274AB5DC" w14:textId="633FE8A2" w:rsidR="00FC77BB" w:rsidRPr="00FB030E" w:rsidRDefault="00C023D4" w:rsidP="00190874">
            <w:pPr>
              <w:keepNext/>
              <w:keepLines/>
              <w:spacing w:before="0" w:after="0" w:line="240" w:lineRule="auto"/>
              <w:jc w:val="center"/>
              <w:rPr>
                <w:sz w:val="20"/>
                <w:szCs w:val="20"/>
              </w:rPr>
            </w:pPr>
            <w:r>
              <w:rPr>
                <w:sz w:val="20"/>
                <w:szCs w:val="20"/>
              </w:rPr>
              <w:t>n/a</w:t>
            </w:r>
          </w:p>
        </w:tc>
      </w:tr>
      <w:tr w:rsidR="00FC77BB" w:rsidRPr="00FB030E" w14:paraId="1238F946" w14:textId="64CC1E4E" w:rsidTr="00FC77BB">
        <w:trPr>
          <w:cantSplit/>
          <w:trHeight w:val="20"/>
        </w:trPr>
        <w:tc>
          <w:tcPr>
            <w:tcW w:w="4765" w:type="dxa"/>
            <w:shd w:val="clear" w:color="auto" w:fill="auto"/>
          </w:tcPr>
          <w:p w14:paraId="4F444C61" w14:textId="44AB23B9" w:rsidR="00FC77BB" w:rsidRPr="00BD6838" w:rsidRDefault="00FC77BB" w:rsidP="00190874">
            <w:pPr>
              <w:keepNext/>
              <w:keepLines/>
              <w:spacing w:before="0" w:after="0" w:line="240" w:lineRule="auto"/>
              <w:rPr>
                <w:sz w:val="20"/>
                <w:szCs w:val="20"/>
              </w:rPr>
            </w:pPr>
            <w:r w:rsidRPr="00BD6838">
              <w:rPr>
                <w:sz w:val="20"/>
              </w:rPr>
              <w:t xml:space="preserve">CA Building Energy Efficiency Standards – Title 24 </w:t>
            </w:r>
          </w:p>
        </w:tc>
        <w:tc>
          <w:tcPr>
            <w:tcW w:w="2340" w:type="dxa"/>
            <w:shd w:val="clear" w:color="auto" w:fill="auto"/>
          </w:tcPr>
          <w:p w14:paraId="0A330E5E" w14:textId="23625B51" w:rsidR="00FC77BB" w:rsidRPr="00FB030E" w:rsidRDefault="00F1022C" w:rsidP="00190874">
            <w:pPr>
              <w:keepNext/>
              <w:keepLines/>
              <w:spacing w:before="0" w:after="0" w:line="240" w:lineRule="auto"/>
              <w:rPr>
                <w:sz w:val="20"/>
                <w:szCs w:val="20"/>
              </w:rPr>
            </w:pPr>
            <w:r>
              <w:rPr>
                <w:sz w:val="20"/>
                <w:szCs w:val="20"/>
              </w:rPr>
              <w:t>none</w:t>
            </w:r>
          </w:p>
        </w:tc>
        <w:tc>
          <w:tcPr>
            <w:tcW w:w="2430" w:type="dxa"/>
            <w:shd w:val="clear" w:color="auto" w:fill="auto"/>
          </w:tcPr>
          <w:p w14:paraId="63BAD98E" w14:textId="3557DED6" w:rsidR="00FC77BB" w:rsidRPr="00FB030E" w:rsidRDefault="00F1022C" w:rsidP="00190874">
            <w:pPr>
              <w:keepNext/>
              <w:keepLines/>
              <w:spacing w:before="0" w:after="0" w:line="240" w:lineRule="auto"/>
              <w:jc w:val="center"/>
              <w:rPr>
                <w:sz w:val="20"/>
                <w:szCs w:val="20"/>
              </w:rPr>
            </w:pPr>
            <w:r>
              <w:rPr>
                <w:sz w:val="20"/>
                <w:szCs w:val="20"/>
              </w:rPr>
              <w:t>n/a</w:t>
            </w:r>
          </w:p>
        </w:tc>
      </w:tr>
      <w:tr w:rsidR="00FC77BB" w:rsidRPr="00FB030E" w14:paraId="23FB50B6" w14:textId="5078B94B" w:rsidTr="00FC77BB">
        <w:trPr>
          <w:cantSplit/>
          <w:trHeight w:val="20"/>
        </w:trPr>
        <w:tc>
          <w:tcPr>
            <w:tcW w:w="4765" w:type="dxa"/>
            <w:shd w:val="clear" w:color="auto" w:fill="auto"/>
          </w:tcPr>
          <w:p w14:paraId="2EBFC05B" w14:textId="77777777" w:rsidR="00FC77BB" w:rsidRPr="00BD6838" w:rsidRDefault="00FC77BB" w:rsidP="00190874">
            <w:pPr>
              <w:keepNext/>
              <w:keepLines/>
              <w:spacing w:before="0" w:after="0" w:line="240" w:lineRule="auto"/>
              <w:rPr>
                <w:sz w:val="20"/>
                <w:szCs w:val="20"/>
              </w:rPr>
            </w:pPr>
            <w:r w:rsidRPr="00BD6838">
              <w:rPr>
                <w:sz w:val="20"/>
              </w:rPr>
              <w:t>Federal Standards</w:t>
            </w:r>
          </w:p>
        </w:tc>
        <w:tc>
          <w:tcPr>
            <w:tcW w:w="2340" w:type="dxa"/>
            <w:shd w:val="clear" w:color="auto" w:fill="auto"/>
          </w:tcPr>
          <w:p w14:paraId="0D43394E" w14:textId="195A7BD3" w:rsidR="00FC77BB" w:rsidRPr="00FB030E" w:rsidRDefault="00F1022C" w:rsidP="00190874">
            <w:pPr>
              <w:keepNext/>
              <w:keepLines/>
              <w:spacing w:before="0" w:after="0" w:line="240" w:lineRule="auto"/>
              <w:rPr>
                <w:sz w:val="20"/>
                <w:szCs w:val="20"/>
              </w:rPr>
            </w:pPr>
            <w:r>
              <w:rPr>
                <w:sz w:val="20"/>
                <w:szCs w:val="20"/>
              </w:rPr>
              <w:t>none</w:t>
            </w:r>
          </w:p>
        </w:tc>
        <w:tc>
          <w:tcPr>
            <w:tcW w:w="2430" w:type="dxa"/>
            <w:shd w:val="clear" w:color="auto" w:fill="auto"/>
          </w:tcPr>
          <w:p w14:paraId="66FA1B6F" w14:textId="324787B7" w:rsidR="00FC77BB" w:rsidRPr="00FB030E" w:rsidRDefault="00F1022C" w:rsidP="00190874">
            <w:pPr>
              <w:keepNext/>
              <w:keepLines/>
              <w:spacing w:before="0" w:after="0" w:line="240" w:lineRule="auto"/>
              <w:jc w:val="center"/>
              <w:rPr>
                <w:sz w:val="20"/>
                <w:szCs w:val="20"/>
              </w:rPr>
            </w:pPr>
            <w:r>
              <w:rPr>
                <w:sz w:val="20"/>
                <w:szCs w:val="20"/>
              </w:rPr>
              <w:t>n</w:t>
            </w:r>
            <w:r w:rsidR="009841B3">
              <w:rPr>
                <w:sz w:val="20"/>
                <w:szCs w:val="20"/>
              </w:rPr>
              <w:t>/</w:t>
            </w:r>
            <w:r>
              <w:rPr>
                <w:sz w:val="20"/>
                <w:szCs w:val="20"/>
              </w:rPr>
              <w:t>a</w:t>
            </w:r>
          </w:p>
        </w:tc>
      </w:tr>
    </w:tbl>
    <w:p w14:paraId="0299EEE5" w14:textId="58A059A4" w:rsidR="00F1022C" w:rsidRPr="001F6B1A" w:rsidRDefault="008B2B0D" w:rsidP="0011498C">
      <w:r w:rsidRPr="001F6B1A">
        <w:t xml:space="preserve">Section 609.11 of the California Pluming Code </w:t>
      </w:r>
      <w:r w:rsidR="008F40EC">
        <w:t xml:space="preserve">specifies requirements </w:t>
      </w:r>
      <w:r w:rsidR="00B6673F">
        <w:t>for pipe insulation</w:t>
      </w:r>
      <w:r w:rsidRPr="001F6B1A">
        <w:t>, s</w:t>
      </w:r>
      <w:r w:rsidR="00143B83">
        <w:t>hown</w:t>
      </w:r>
      <w:r w:rsidRPr="001F6B1A">
        <w:t xml:space="preserve"> below. However, this requirement is for newly constructed residences</w:t>
      </w:r>
      <w:r w:rsidR="008F40EC">
        <w:t xml:space="preserve">. This measure is classified as add-on equipment for existing bare (un-insulated) pipes within the first 3 feet of both hot water and cold-water supply lines connected to a storage water heater and therefore does not trigger California Plumbing </w:t>
      </w:r>
      <w:r w:rsidR="00B6673F">
        <w:t>C</w:t>
      </w:r>
      <w:r w:rsidR="008F40EC">
        <w:t xml:space="preserve">ode compliance. </w:t>
      </w:r>
    </w:p>
    <w:p w14:paraId="28A93655" w14:textId="704798FD" w:rsidR="00FD2C54" w:rsidRDefault="00CC672D" w:rsidP="0011498C">
      <w:pPr>
        <w:rPr>
          <w:b/>
        </w:rPr>
      </w:pPr>
      <w:r>
        <w:rPr>
          <w:b/>
        </w:rPr>
        <w:t>Residential Compliance Manual</w:t>
      </w:r>
      <w:r w:rsidR="00F1022C" w:rsidRPr="00ED66E6">
        <w:rPr>
          <w:b/>
        </w:rPr>
        <w:t xml:space="preserve"> </w:t>
      </w:r>
      <w:r w:rsidR="00D96673" w:rsidRPr="00ED66E6">
        <w:rPr>
          <w:rStyle w:val="FootnoteReference"/>
          <w:b/>
        </w:rPr>
        <w:footnoteReference w:id="4"/>
      </w:r>
    </w:p>
    <w:p w14:paraId="4BE88839" w14:textId="77777777" w:rsidR="00F1022C" w:rsidRPr="00595533" w:rsidRDefault="00F1022C" w:rsidP="00F1022C">
      <w:pPr>
        <w:autoSpaceDE w:val="0"/>
        <w:autoSpaceDN w:val="0"/>
        <w:adjustRightInd w:val="0"/>
        <w:spacing w:before="0" w:after="0" w:line="240" w:lineRule="auto"/>
        <w:rPr>
          <w:rFonts w:cs="Calibri Light"/>
          <w:i/>
          <w:iCs/>
          <w:szCs w:val="22"/>
        </w:rPr>
      </w:pPr>
      <w:r w:rsidRPr="00595533">
        <w:rPr>
          <w:rFonts w:cs="Calibri Light"/>
          <w:i/>
          <w:iCs/>
          <w:szCs w:val="22"/>
        </w:rPr>
        <w:t>“All domestic hot water piping shall be insulated as specified in Section 609.11 of the California Plumbing</w:t>
      </w:r>
    </w:p>
    <w:p w14:paraId="5F0A0DE3" w14:textId="4819B1FE" w:rsidR="00F1022C" w:rsidRPr="00595533" w:rsidRDefault="00F1022C" w:rsidP="00F1022C">
      <w:pPr>
        <w:autoSpaceDE w:val="0"/>
        <w:autoSpaceDN w:val="0"/>
        <w:adjustRightInd w:val="0"/>
        <w:spacing w:before="0" w:after="0" w:line="240" w:lineRule="auto"/>
        <w:rPr>
          <w:rFonts w:cs="Calibri Light"/>
          <w:i/>
          <w:iCs/>
          <w:szCs w:val="22"/>
        </w:rPr>
      </w:pPr>
      <w:r w:rsidRPr="00595533">
        <w:rPr>
          <w:rFonts w:cs="Calibri Light"/>
          <w:i/>
          <w:iCs/>
          <w:szCs w:val="22"/>
        </w:rPr>
        <w:t>Code, which requires pipe insulation thickness equal to or more than the diameter of the pipe, up to 2 inches. Above pipe diameter of 2 inches, the insulation thickness must be at least 2 inches. In addition,</w:t>
      </w:r>
    </w:p>
    <w:p w14:paraId="1FC3B846" w14:textId="77777777" w:rsidR="00F1022C" w:rsidRPr="00595533" w:rsidRDefault="00F1022C" w:rsidP="00F1022C">
      <w:pPr>
        <w:autoSpaceDE w:val="0"/>
        <w:autoSpaceDN w:val="0"/>
        <w:adjustRightInd w:val="0"/>
        <w:spacing w:before="0" w:after="0" w:line="240" w:lineRule="auto"/>
        <w:rPr>
          <w:rFonts w:cs="Calibri Light"/>
          <w:i/>
          <w:iCs/>
          <w:szCs w:val="22"/>
        </w:rPr>
      </w:pPr>
      <w:r w:rsidRPr="00595533">
        <w:rPr>
          <w:rFonts w:cs="Calibri Light"/>
          <w:i/>
          <w:iCs/>
          <w:szCs w:val="22"/>
        </w:rPr>
        <w:t>the following piping conditions shall have a minimum insulation wall thickness of 1 inch:</w:t>
      </w:r>
    </w:p>
    <w:p w14:paraId="3281241B" w14:textId="1CCE38C3" w:rsidR="00F1022C" w:rsidRPr="00595533" w:rsidRDefault="00F1022C" w:rsidP="00F1022C">
      <w:pPr>
        <w:pStyle w:val="ListParagraph"/>
        <w:numPr>
          <w:ilvl w:val="0"/>
          <w:numId w:val="18"/>
        </w:numPr>
        <w:autoSpaceDE w:val="0"/>
        <w:autoSpaceDN w:val="0"/>
        <w:adjustRightInd w:val="0"/>
        <w:spacing w:before="0" w:after="0" w:line="240" w:lineRule="auto"/>
        <w:rPr>
          <w:rFonts w:cs="Calibri Light"/>
          <w:i/>
          <w:iCs/>
          <w:szCs w:val="22"/>
        </w:rPr>
      </w:pPr>
      <w:r w:rsidRPr="00595533">
        <w:rPr>
          <w:rFonts w:cs="Calibri Light"/>
          <w:i/>
          <w:iCs/>
          <w:szCs w:val="22"/>
        </w:rPr>
        <w:t>The first 5 feet of hot and cold‐water pipes from the storage tank or water heater.</w:t>
      </w:r>
    </w:p>
    <w:p w14:paraId="1F52EF03" w14:textId="2E64625D" w:rsidR="00F1022C" w:rsidRPr="00595533" w:rsidRDefault="00F1022C" w:rsidP="00F1022C">
      <w:pPr>
        <w:pStyle w:val="ListParagraph"/>
        <w:numPr>
          <w:ilvl w:val="0"/>
          <w:numId w:val="18"/>
        </w:numPr>
        <w:autoSpaceDE w:val="0"/>
        <w:autoSpaceDN w:val="0"/>
        <w:adjustRightInd w:val="0"/>
        <w:spacing w:before="0" w:after="0" w:line="240" w:lineRule="auto"/>
        <w:rPr>
          <w:rFonts w:cs="Calibri Light"/>
          <w:i/>
          <w:iCs/>
          <w:szCs w:val="22"/>
        </w:rPr>
      </w:pPr>
      <w:r w:rsidRPr="00595533">
        <w:rPr>
          <w:rFonts w:cs="Calibri Light"/>
          <w:i/>
          <w:iCs/>
          <w:szCs w:val="22"/>
        </w:rPr>
        <w:t>All piping with a nominal diameter of ¾ inch or larger.</w:t>
      </w:r>
    </w:p>
    <w:p w14:paraId="7D534F0C" w14:textId="0B710F2A" w:rsidR="00F1022C" w:rsidRPr="00595533" w:rsidRDefault="00F1022C" w:rsidP="00F1022C">
      <w:pPr>
        <w:pStyle w:val="ListParagraph"/>
        <w:numPr>
          <w:ilvl w:val="0"/>
          <w:numId w:val="18"/>
        </w:numPr>
        <w:autoSpaceDE w:val="0"/>
        <w:autoSpaceDN w:val="0"/>
        <w:adjustRightInd w:val="0"/>
        <w:spacing w:before="0" w:after="0" w:line="240" w:lineRule="auto"/>
        <w:rPr>
          <w:rFonts w:cs="Calibri Light"/>
          <w:i/>
          <w:iCs/>
          <w:szCs w:val="22"/>
        </w:rPr>
      </w:pPr>
      <w:r w:rsidRPr="00595533">
        <w:rPr>
          <w:rFonts w:cs="Calibri Light"/>
          <w:i/>
          <w:iCs/>
          <w:szCs w:val="22"/>
        </w:rPr>
        <w:t>All piping associated within a domestic hot water recirculation system regardless of the pipe diameter. This excludes branches off the recirculation loop that are less than ¾ inch diameter or do not serve the kitchen.</w:t>
      </w:r>
    </w:p>
    <w:p w14:paraId="000C72D4" w14:textId="00B58219" w:rsidR="00F1022C" w:rsidRPr="00595533" w:rsidRDefault="00F1022C" w:rsidP="00F1022C">
      <w:pPr>
        <w:pStyle w:val="ListParagraph"/>
        <w:numPr>
          <w:ilvl w:val="0"/>
          <w:numId w:val="18"/>
        </w:numPr>
        <w:autoSpaceDE w:val="0"/>
        <w:autoSpaceDN w:val="0"/>
        <w:adjustRightInd w:val="0"/>
        <w:spacing w:before="0" w:after="0" w:line="240" w:lineRule="auto"/>
        <w:rPr>
          <w:rFonts w:cs="Calibri Light"/>
          <w:i/>
          <w:iCs/>
          <w:szCs w:val="22"/>
        </w:rPr>
      </w:pPr>
      <w:r w:rsidRPr="00595533">
        <w:rPr>
          <w:rFonts w:cs="Calibri Light"/>
          <w:i/>
          <w:iCs/>
          <w:szCs w:val="22"/>
        </w:rPr>
        <w:t>Piping from the heating source to a storage tank or between tanks.</w:t>
      </w:r>
    </w:p>
    <w:p w14:paraId="789DDF0B" w14:textId="4E4CA537" w:rsidR="00F1022C" w:rsidRPr="00595533" w:rsidRDefault="00F1022C" w:rsidP="00F1022C">
      <w:pPr>
        <w:pStyle w:val="ListParagraph"/>
        <w:numPr>
          <w:ilvl w:val="0"/>
          <w:numId w:val="18"/>
        </w:numPr>
        <w:autoSpaceDE w:val="0"/>
        <w:autoSpaceDN w:val="0"/>
        <w:adjustRightInd w:val="0"/>
        <w:spacing w:before="0" w:after="0" w:line="240" w:lineRule="auto"/>
        <w:rPr>
          <w:rFonts w:cs="Calibri Light"/>
          <w:i/>
          <w:iCs/>
          <w:szCs w:val="22"/>
        </w:rPr>
      </w:pPr>
      <w:r w:rsidRPr="00595533">
        <w:rPr>
          <w:rFonts w:cs="Calibri Light"/>
          <w:i/>
          <w:iCs/>
          <w:szCs w:val="22"/>
        </w:rPr>
        <w:t>Piping buried below grade.</w:t>
      </w:r>
    </w:p>
    <w:p w14:paraId="6514E835" w14:textId="25CC6BD7" w:rsidR="00F1022C" w:rsidRPr="00595533" w:rsidRDefault="00F1022C" w:rsidP="00F1022C">
      <w:pPr>
        <w:pStyle w:val="ListParagraph"/>
        <w:numPr>
          <w:ilvl w:val="0"/>
          <w:numId w:val="18"/>
        </w:numPr>
        <w:rPr>
          <w:rFonts w:cs="Calibri Light"/>
          <w:b/>
        </w:rPr>
      </w:pPr>
      <w:r w:rsidRPr="00595533">
        <w:rPr>
          <w:rFonts w:cs="Calibri Light"/>
          <w:i/>
          <w:iCs/>
          <w:szCs w:val="22"/>
        </w:rPr>
        <w:t>All hot water pipes from the heating source to the kitchen fixtures.”</w:t>
      </w:r>
    </w:p>
    <w:p w14:paraId="1EE16D20" w14:textId="4E3C42D2" w:rsidR="007D230B" w:rsidRPr="00171BB8" w:rsidRDefault="007D230B" w:rsidP="00462BB6">
      <w:pPr>
        <w:pStyle w:val="eTRMHeading3"/>
      </w:pPr>
      <w:bookmarkStart w:id="16" w:name="_Toc486490851"/>
      <w:bookmarkStart w:id="17" w:name="_Toc486580922"/>
      <w:bookmarkStart w:id="18" w:name="_Toc5966608"/>
      <w:r w:rsidRPr="00A83458">
        <w:t>Normalizing</w:t>
      </w:r>
      <w:r w:rsidRPr="00171BB8">
        <w:t xml:space="preserve"> Unit</w:t>
      </w:r>
      <w:bookmarkEnd w:id="16"/>
      <w:bookmarkEnd w:id="17"/>
      <w:bookmarkEnd w:id="18"/>
    </w:p>
    <w:p w14:paraId="4610F087" w14:textId="35BCAAD7" w:rsidR="00AA2841" w:rsidRPr="007D230B" w:rsidRDefault="00F1022C" w:rsidP="00486585">
      <w:r>
        <w:t>Ea</w:t>
      </w:r>
      <w:r w:rsidR="002529C9">
        <w:t>c</w:t>
      </w:r>
      <w:r>
        <w:t>h</w:t>
      </w:r>
    </w:p>
    <w:p w14:paraId="2F4904E6" w14:textId="77777777" w:rsidR="007D230B" w:rsidRPr="004B06E3" w:rsidRDefault="007D230B" w:rsidP="00462BB6">
      <w:pPr>
        <w:pStyle w:val="eTRMHeading3"/>
      </w:pPr>
      <w:bookmarkStart w:id="19" w:name="_Toc486490852"/>
      <w:bookmarkStart w:id="20" w:name="_Toc486580923"/>
      <w:bookmarkStart w:id="21" w:name="_Toc5966609"/>
      <w:bookmarkStart w:id="22" w:name="_Hlk515365299"/>
      <w:bookmarkStart w:id="23" w:name="_Hlk515878271"/>
      <w:r w:rsidRPr="004B06E3">
        <w:lastRenderedPageBreak/>
        <w:t>Program Requirements</w:t>
      </w:r>
      <w:bookmarkEnd w:id="19"/>
      <w:bookmarkEnd w:id="20"/>
      <w:bookmarkEnd w:id="21"/>
      <w:r w:rsidRPr="004B06E3">
        <w:t xml:space="preserve"> </w:t>
      </w:r>
    </w:p>
    <w:p w14:paraId="76F286D8" w14:textId="77777777" w:rsidR="00AA2841" w:rsidRDefault="00AA2841" w:rsidP="00AA2841">
      <w:pPr>
        <w:pStyle w:val="eTRMHeading5"/>
        <w:keepNext/>
        <w:keepLines/>
      </w:pPr>
      <w:bookmarkStart w:id="24" w:name="_Hlk516047641"/>
      <w:bookmarkEnd w:id="22"/>
      <w:r>
        <w:t>Measure Implementation Eligibility</w:t>
      </w:r>
    </w:p>
    <w:p w14:paraId="512C0D1F" w14:textId="77777777" w:rsidR="00AA2841" w:rsidRDefault="00AA2841" w:rsidP="00AA2841">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22003375" w14:textId="77777777" w:rsidR="00AA2841" w:rsidRPr="00CC4643" w:rsidRDefault="00AA2841" w:rsidP="00AA2841">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51A07348" w:rsidR="001B426F" w:rsidRDefault="001B426F" w:rsidP="001B426F">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1B426F" w:rsidRPr="00A47168" w14:paraId="54F21FF2" w14:textId="77777777" w:rsidTr="004B7CAA">
        <w:trPr>
          <w:trHeight w:val="290"/>
        </w:trPr>
        <w:tc>
          <w:tcPr>
            <w:tcW w:w="3024" w:type="dxa"/>
            <w:noWrap/>
            <w:tcMar>
              <w:top w:w="0" w:type="dxa"/>
              <w:left w:w="108" w:type="dxa"/>
              <w:bottom w:w="0" w:type="dxa"/>
              <w:right w:w="108" w:type="dxa"/>
            </w:tcMar>
            <w:vAlign w:val="bottom"/>
          </w:tcPr>
          <w:p w14:paraId="178C5C26" w14:textId="0D361D27" w:rsidR="001B426F" w:rsidRPr="00A47168" w:rsidRDefault="00F1022C" w:rsidP="001B426F">
            <w:pPr>
              <w:keepNext/>
              <w:spacing w:before="0" w:after="0"/>
              <w:rPr>
                <w:color w:val="000000"/>
                <w:sz w:val="20"/>
              </w:rPr>
            </w:pPr>
            <w:r>
              <w:rPr>
                <w:color w:val="000000"/>
                <w:sz w:val="20"/>
              </w:rPr>
              <w:t>Add-on Equipment</w:t>
            </w:r>
          </w:p>
        </w:tc>
        <w:tc>
          <w:tcPr>
            <w:tcW w:w="3024" w:type="dxa"/>
            <w:noWrap/>
            <w:tcMar>
              <w:top w:w="0" w:type="dxa"/>
              <w:left w:w="108" w:type="dxa"/>
              <w:bottom w:w="0" w:type="dxa"/>
              <w:right w:w="108" w:type="dxa"/>
            </w:tcMar>
            <w:vAlign w:val="bottom"/>
          </w:tcPr>
          <w:p w14:paraId="7EB7E369" w14:textId="6D6046FB" w:rsidR="001B426F" w:rsidRPr="00A47168" w:rsidRDefault="00B6673F" w:rsidP="001B426F">
            <w:pPr>
              <w:keepNext/>
              <w:spacing w:before="0" w:after="0"/>
              <w:rPr>
                <w:color w:val="000000"/>
                <w:sz w:val="20"/>
              </w:rPr>
            </w:pPr>
            <w:proofErr w:type="spellStart"/>
            <w:r>
              <w:rPr>
                <w:color w:val="000000"/>
                <w:sz w:val="20"/>
              </w:rPr>
              <w:t>DnDeemDI</w:t>
            </w:r>
            <w:proofErr w:type="spellEnd"/>
          </w:p>
        </w:tc>
        <w:tc>
          <w:tcPr>
            <w:tcW w:w="3024" w:type="dxa"/>
            <w:noWrap/>
            <w:tcMar>
              <w:top w:w="0" w:type="dxa"/>
              <w:left w:w="108" w:type="dxa"/>
              <w:bottom w:w="0" w:type="dxa"/>
              <w:right w:w="108" w:type="dxa"/>
            </w:tcMar>
            <w:vAlign w:val="bottom"/>
          </w:tcPr>
          <w:p w14:paraId="6F9C2987" w14:textId="4C9A4D34" w:rsidR="001B426F" w:rsidRPr="00A47168" w:rsidRDefault="00F1022C" w:rsidP="001B426F">
            <w:pPr>
              <w:keepNext/>
              <w:spacing w:before="0" w:after="0"/>
              <w:rPr>
                <w:color w:val="000000"/>
                <w:sz w:val="20"/>
              </w:rPr>
            </w:pPr>
            <w:r>
              <w:rPr>
                <w:color w:val="000000"/>
                <w:sz w:val="20"/>
              </w:rPr>
              <w:t>Res</w:t>
            </w:r>
          </w:p>
        </w:tc>
      </w:tr>
    </w:tbl>
    <w:p w14:paraId="7786ACF3" w14:textId="77777777" w:rsidR="00534428" w:rsidRDefault="00534428" w:rsidP="001B426F"/>
    <w:bookmarkEnd w:id="23"/>
    <w:bookmarkEnd w:id="24"/>
    <w:p w14:paraId="50711562" w14:textId="5D0894B2" w:rsidR="00AA46AF" w:rsidRDefault="00196649" w:rsidP="0026110B">
      <w:pPr>
        <w:pStyle w:val="eTRMHeading5"/>
        <w:keepNext/>
        <w:keepLines/>
      </w:pPr>
      <w:r>
        <w:t>Eligible Products</w:t>
      </w:r>
    </w:p>
    <w:p w14:paraId="42729269" w14:textId="3A0FB77C" w:rsidR="00B6673F" w:rsidRPr="00B6673F" w:rsidRDefault="00EF5328" w:rsidP="001F6B1A">
      <w:pPr>
        <w:autoSpaceDE w:val="0"/>
        <w:autoSpaceDN w:val="0"/>
        <w:adjustRightInd w:val="0"/>
        <w:spacing w:before="0" w:after="0" w:line="240" w:lineRule="auto"/>
        <w:rPr>
          <w:rFonts w:cs="Calibri Light"/>
          <w:szCs w:val="22"/>
        </w:rPr>
      </w:pPr>
      <w:r>
        <w:rPr>
          <w:rFonts w:cs="Calibri Light"/>
          <w:szCs w:val="22"/>
        </w:rPr>
        <w:t xml:space="preserve">Program eligibility requirements for the </w:t>
      </w:r>
      <w:r w:rsidRPr="001474EA">
        <w:rPr>
          <w:rFonts w:cs="Calibri Light"/>
          <w:szCs w:val="22"/>
        </w:rPr>
        <w:t>addition of insulation to hot water and cold</w:t>
      </w:r>
      <w:r>
        <w:rPr>
          <w:rFonts w:cs="Calibri Light"/>
          <w:szCs w:val="22"/>
        </w:rPr>
        <w:t>-</w:t>
      </w:r>
      <w:r w:rsidRPr="001474EA">
        <w:rPr>
          <w:rFonts w:cs="Calibri Light"/>
          <w:szCs w:val="22"/>
        </w:rPr>
        <w:t>water pipes</w:t>
      </w:r>
      <w:r>
        <w:rPr>
          <w:rFonts w:cs="Calibri Light"/>
          <w:szCs w:val="22"/>
        </w:rPr>
        <w:t>,</w:t>
      </w:r>
      <w:r w:rsidRPr="001474EA">
        <w:rPr>
          <w:rFonts w:cs="Calibri Light"/>
          <w:szCs w:val="22"/>
        </w:rPr>
        <w:t xml:space="preserve"> within </w:t>
      </w:r>
      <w:r>
        <w:rPr>
          <w:rFonts w:cs="Calibri Light"/>
          <w:szCs w:val="22"/>
        </w:rPr>
        <w:t xml:space="preserve">the first </w:t>
      </w:r>
      <w:r w:rsidRPr="001474EA">
        <w:rPr>
          <w:rFonts w:cs="Calibri Light"/>
          <w:szCs w:val="22"/>
        </w:rPr>
        <w:t>3 feet of a storage water</w:t>
      </w:r>
      <w:r>
        <w:rPr>
          <w:rFonts w:cs="Calibri Light"/>
          <w:szCs w:val="22"/>
        </w:rPr>
        <w:t xml:space="preserve"> heater include:</w:t>
      </w:r>
    </w:p>
    <w:p w14:paraId="132C0375" w14:textId="3CA587CC" w:rsidR="00F1022C" w:rsidRPr="00FD2C98" w:rsidRDefault="00F1022C" w:rsidP="00017097">
      <w:pPr>
        <w:pStyle w:val="ListParagraph"/>
        <w:numPr>
          <w:ilvl w:val="0"/>
          <w:numId w:val="19"/>
        </w:numPr>
        <w:autoSpaceDE w:val="0"/>
        <w:autoSpaceDN w:val="0"/>
        <w:adjustRightInd w:val="0"/>
        <w:spacing w:before="0" w:after="0" w:line="240" w:lineRule="auto"/>
        <w:rPr>
          <w:rFonts w:cs="Calibri Light"/>
          <w:szCs w:val="22"/>
        </w:rPr>
      </w:pPr>
      <w:r w:rsidRPr="00FD2C98">
        <w:rPr>
          <w:rFonts w:cs="Calibri Light"/>
          <w:szCs w:val="22"/>
        </w:rPr>
        <w:t xml:space="preserve">A minimum of </w:t>
      </w:r>
      <w:r w:rsidR="00EF5328">
        <w:rPr>
          <w:rFonts w:cs="Calibri Light"/>
          <w:szCs w:val="22"/>
        </w:rPr>
        <w:t>1</w:t>
      </w:r>
      <w:r w:rsidR="00302F0E">
        <w:rPr>
          <w:rFonts w:cs="Calibri Light"/>
          <w:szCs w:val="22"/>
        </w:rPr>
        <w:t xml:space="preserve"> </w:t>
      </w:r>
      <w:r w:rsidRPr="00FD2C98">
        <w:rPr>
          <w:rFonts w:cs="Calibri Light"/>
          <w:szCs w:val="22"/>
        </w:rPr>
        <w:t>inch of pipe insulation must be added to existing bare pipe</w:t>
      </w:r>
    </w:p>
    <w:p w14:paraId="1A8D5561" w14:textId="40955D92" w:rsidR="00F1022C" w:rsidRPr="00FD2C98" w:rsidRDefault="00F1022C" w:rsidP="00017097">
      <w:pPr>
        <w:pStyle w:val="ListParagraph"/>
        <w:numPr>
          <w:ilvl w:val="0"/>
          <w:numId w:val="19"/>
        </w:numPr>
        <w:autoSpaceDE w:val="0"/>
        <w:autoSpaceDN w:val="0"/>
        <w:adjustRightInd w:val="0"/>
        <w:spacing w:before="0" w:after="0" w:line="240" w:lineRule="auto"/>
        <w:rPr>
          <w:rFonts w:cs="Calibri Light"/>
          <w:szCs w:val="22"/>
        </w:rPr>
      </w:pPr>
      <w:r w:rsidRPr="00FD2C98">
        <w:rPr>
          <w:rFonts w:cs="Calibri Light"/>
          <w:szCs w:val="22"/>
        </w:rPr>
        <w:t>Acceptable types of insulation for hot water pipes include elastomeric foam rubber, polyethylene foam, UV-resistant polyethylene foam, and rigid polyurethane foam.</w:t>
      </w:r>
    </w:p>
    <w:p w14:paraId="5D7D1E1E" w14:textId="2F2A0E83" w:rsidR="00017097" w:rsidRPr="00FD2C98" w:rsidRDefault="00017097" w:rsidP="00017097">
      <w:pPr>
        <w:pStyle w:val="ListParagraph"/>
        <w:numPr>
          <w:ilvl w:val="0"/>
          <w:numId w:val="19"/>
        </w:numPr>
        <w:autoSpaceDE w:val="0"/>
        <w:autoSpaceDN w:val="0"/>
        <w:adjustRightInd w:val="0"/>
        <w:spacing w:before="0" w:after="0" w:line="240" w:lineRule="auto"/>
        <w:rPr>
          <w:rFonts w:cs="Calibri Light"/>
          <w:szCs w:val="22"/>
        </w:rPr>
      </w:pPr>
      <w:r w:rsidRPr="00FD2C98">
        <w:rPr>
          <w:rFonts w:cs="Calibri Light"/>
          <w:szCs w:val="22"/>
        </w:rPr>
        <w:t>Must be direct install by</w:t>
      </w:r>
      <w:r w:rsidR="00F72DB4">
        <w:rPr>
          <w:rFonts w:cs="Calibri Light"/>
          <w:szCs w:val="22"/>
        </w:rPr>
        <w:t xml:space="preserve"> </w:t>
      </w:r>
      <w:r w:rsidR="00B332CA">
        <w:rPr>
          <w:rFonts w:cs="Calibri Light"/>
          <w:szCs w:val="22"/>
        </w:rPr>
        <w:t>an authorized implementer.</w:t>
      </w:r>
    </w:p>
    <w:p w14:paraId="04591325" w14:textId="6B85C129" w:rsidR="00017097" w:rsidRPr="00F12872" w:rsidRDefault="00017097" w:rsidP="00017097">
      <w:pPr>
        <w:pStyle w:val="ListParagraph"/>
        <w:numPr>
          <w:ilvl w:val="0"/>
          <w:numId w:val="19"/>
        </w:numPr>
        <w:autoSpaceDE w:val="0"/>
        <w:autoSpaceDN w:val="0"/>
        <w:adjustRightInd w:val="0"/>
        <w:spacing w:before="0" w:after="0" w:line="240" w:lineRule="auto"/>
        <w:rPr>
          <w:rFonts w:cs="Calibri Light"/>
          <w:szCs w:val="22"/>
        </w:rPr>
      </w:pPr>
      <w:r w:rsidRPr="00F12872">
        <w:rPr>
          <w:rFonts w:cs="Calibri Light"/>
          <w:szCs w:val="22"/>
        </w:rPr>
        <w:t>Verification of no existing pipe insulation</w:t>
      </w:r>
    </w:p>
    <w:p w14:paraId="05502F25" w14:textId="1D74BF2A" w:rsidR="00F10E3E" w:rsidRPr="00F12872" w:rsidRDefault="00F10E3E" w:rsidP="00017097">
      <w:pPr>
        <w:pStyle w:val="ListParagraph"/>
        <w:numPr>
          <w:ilvl w:val="0"/>
          <w:numId w:val="19"/>
        </w:numPr>
        <w:autoSpaceDE w:val="0"/>
        <w:autoSpaceDN w:val="0"/>
        <w:adjustRightInd w:val="0"/>
        <w:spacing w:before="0" w:after="0" w:line="240" w:lineRule="auto"/>
        <w:rPr>
          <w:rFonts w:cs="Calibri Light"/>
          <w:szCs w:val="22"/>
        </w:rPr>
      </w:pPr>
      <w:r w:rsidRPr="00F12872">
        <w:rPr>
          <w:rFonts w:cs="Calibri Light"/>
          <w:szCs w:val="22"/>
        </w:rPr>
        <w:t>Unconditioned garage spaces are considered “indoor” installations</w:t>
      </w:r>
    </w:p>
    <w:p w14:paraId="7CE938DA" w14:textId="2434378C" w:rsidR="007B6A74" w:rsidRPr="00401C43" w:rsidRDefault="007B6A74" w:rsidP="00401C43">
      <w:pPr>
        <w:pStyle w:val="eTRMHeading5"/>
      </w:pPr>
      <w:r w:rsidRPr="00401C43">
        <w:t>Eligible Building Types</w:t>
      </w:r>
      <w:r w:rsidR="00E57AAD">
        <w:t xml:space="preserve"> and Vintages</w:t>
      </w:r>
    </w:p>
    <w:p w14:paraId="182BBCF3" w14:textId="1AFFE663" w:rsidR="00BF66D2" w:rsidRDefault="00017097" w:rsidP="00BF66D2">
      <w:r>
        <w:t xml:space="preserve">The measure is </w:t>
      </w:r>
      <w:r w:rsidR="00EF5328">
        <w:t>applicable</w:t>
      </w:r>
      <w:r>
        <w:t xml:space="preserve"> </w:t>
      </w:r>
      <w:r w:rsidR="00840FC2">
        <w:t>for</w:t>
      </w:r>
      <w:r>
        <w:t xml:space="preserve"> any</w:t>
      </w:r>
      <w:r w:rsidR="00EF5328">
        <w:t xml:space="preserve"> existing</w:t>
      </w:r>
      <w:r>
        <w:t xml:space="preserve"> residential building type</w:t>
      </w:r>
      <w:r w:rsidR="00DF2B8B">
        <w:t xml:space="preserve">s </w:t>
      </w:r>
      <w:r w:rsidR="00840FC2">
        <w:t>and</w:t>
      </w:r>
      <w:r>
        <w:t xml:space="preserve"> </w:t>
      </w:r>
      <w:r w:rsidR="00840FC2">
        <w:t>all</w:t>
      </w:r>
      <w:r>
        <w:t xml:space="preserve"> vintage</w:t>
      </w:r>
      <w:r w:rsidR="00840FC2">
        <w:t>s.</w:t>
      </w:r>
    </w:p>
    <w:p w14:paraId="5E6348EA" w14:textId="77777777" w:rsidR="00AA2841" w:rsidRPr="00571D95" w:rsidRDefault="00AA2841" w:rsidP="006161A6"/>
    <w:p w14:paraId="1A3705F3" w14:textId="4BC0985D" w:rsidR="007B6A74" w:rsidRPr="004B06E3" w:rsidRDefault="00196649" w:rsidP="00154391">
      <w:pPr>
        <w:pStyle w:val="eTRMHeading5"/>
      </w:pPr>
      <w:r>
        <w:t>Eligible Climate Zones</w:t>
      </w:r>
    </w:p>
    <w:p w14:paraId="4A9FD22A" w14:textId="7BA44816" w:rsidR="004B6780" w:rsidRDefault="004B6780" w:rsidP="004B6780">
      <w:r>
        <w:t xml:space="preserve">This measure is applicable </w:t>
      </w:r>
      <w:r w:rsidR="0026110B">
        <w:t>in</w:t>
      </w:r>
      <w:r>
        <w:t xml:space="preserve"> </w:t>
      </w:r>
      <w:r w:rsidR="0026110B">
        <w:t>all</w:t>
      </w:r>
      <w:r>
        <w:t xml:space="preserve"> California climate zones.</w:t>
      </w:r>
    </w:p>
    <w:p w14:paraId="34FF761D" w14:textId="77777777" w:rsidR="006C41AD" w:rsidRPr="004B06E3" w:rsidRDefault="006C41AD" w:rsidP="004B06E3"/>
    <w:p w14:paraId="47630D60" w14:textId="77777777" w:rsidR="007D230B" w:rsidRPr="004B06E3" w:rsidRDefault="007D230B" w:rsidP="00462BB6">
      <w:pPr>
        <w:pStyle w:val="eTRMHeading3"/>
      </w:pPr>
      <w:bookmarkStart w:id="27" w:name="_Toc486490853"/>
      <w:bookmarkStart w:id="28" w:name="_Toc486580924"/>
      <w:bookmarkStart w:id="29" w:name="_Toc5966610"/>
      <w:r w:rsidRPr="004B06E3">
        <w:t>Program Exclusions</w:t>
      </w:r>
      <w:bookmarkEnd w:id="27"/>
      <w:bookmarkEnd w:id="28"/>
      <w:bookmarkEnd w:id="29"/>
      <w:r w:rsidRPr="004B06E3">
        <w:t xml:space="preserve"> </w:t>
      </w:r>
    </w:p>
    <w:p w14:paraId="63E84BF9" w14:textId="04D0E24B" w:rsidR="00337924" w:rsidRPr="00FD2C98" w:rsidRDefault="00017097" w:rsidP="00017097">
      <w:pPr>
        <w:autoSpaceDE w:val="0"/>
        <w:autoSpaceDN w:val="0"/>
        <w:adjustRightInd w:val="0"/>
        <w:spacing w:before="0" w:after="0" w:line="240" w:lineRule="auto"/>
        <w:rPr>
          <w:rFonts w:cs="Calibri Light"/>
          <w:szCs w:val="22"/>
        </w:rPr>
      </w:pPr>
      <w:r w:rsidRPr="00FD2C98">
        <w:rPr>
          <w:rFonts w:cs="Calibri Light"/>
          <w:szCs w:val="22"/>
        </w:rPr>
        <w:t>The following conditions are excluded:</w:t>
      </w:r>
    </w:p>
    <w:p w14:paraId="6947E046" w14:textId="599C8991" w:rsidR="00017097" w:rsidRPr="00FD2C98" w:rsidRDefault="00017097" w:rsidP="00017097">
      <w:pPr>
        <w:pStyle w:val="ListParagraph"/>
        <w:numPr>
          <w:ilvl w:val="0"/>
          <w:numId w:val="20"/>
        </w:numPr>
        <w:autoSpaceDE w:val="0"/>
        <w:autoSpaceDN w:val="0"/>
        <w:adjustRightInd w:val="0"/>
        <w:spacing w:before="0" w:after="0" w:line="240" w:lineRule="auto"/>
        <w:rPr>
          <w:rFonts w:cs="Calibri Light"/>
          <w:szCs w:val="22"/>
        </w:rPr>
      </w:pPr>
      <w:r w:rsidRPr="00FD2C98">
        <w:rPr>
          <w:rFonts w:cs="Calibri Light"/>
          <w:szCs w:val="22"/>
        </w:rPr>
        <w:t>This measure is not applicable for commercial or industrial applications.</w:t>
      </w:r>
    </w:p>
    <w:p w14:paraId="0573DC4A" w14:textId="5C2DE70F" w:rsidR="00017097" w:rsidRPr="00017097" w:rsidRDefault="00017097" w:rsidP="00017097">
      <w:pPr>
        <w:pStyle w:val="ListParagraph"/>
        <w:numPr>
          <w:ilvl w:val="0"/>
          <w:numId w:val="20"/>
        </w:numPr>
        <w:autoSpaceDE w:val="0"/>
        <w:autoSpaceDN w:val="0"/>
        <w:adjustRightInd w:val="0"/>
        <w:spacing w:before="0" w:after="0" w:line="240" w:lineRule="auto"/>
        <w:rPr>
          <w:rFonts w:ascii="Calibri-Light" w:hAnsi="Calibri-Light" w:cs="Calibri-Light"/>
          <w:szCs w:val="22"/>
        </w:rPr>
      </w:pPr>
      <w:r w:rsidRPr="00FD2C98">
        <w:rPr>
          <w:rFonts w:cs="Calibri Light"/>
          <w:szCs w:val="22"/>
        </w:rPr>
        <w:t>This measure is not eligible for new construction applications</w:t>
      </w:r>
      <w:r w:rsidR="00337924" w:rsidRPr="00FD2C98">
        <w:rPr>
          <w:rFonts w:cs="Calibri Light"/>
          <w:szCs w:val="22"/>
        </w:rPr>
        <w:t xml:space="preserve"> as defined by the California Plumbing Code</w:t>
      </w:r>
      <w:r w:rsidRPr="00017097">
        <w:rPr>
          <w:rFonts w:ascii="Calibri-Light" w:hAnsi="Calibri-Light" w:cs="Calibri-Light"/>
          <w:szCs w:val="22"/>
        </w:rPr>
        <w:t>.</w:t>
      </w:r>
    </w:p>
    <w:p w14:paraId="655E299F" w14:textId="77777777" w:rsidR="007D230B" w:rsidRPr="004B06E3" w:rsidRDefault="007D230B" w:rsidP="00462BB6">
      <w:pPr>
        <w:pStyle w:val="eTRMHeading3"/>
      </w:pPr>
      <w:bookmarkStart w:id="30" w:name="_Toc486490854"/>
      <w:bookmarkStart w:id="31" w:name="_Toc486580925"/>
      <w:bookmarkStart w:id="32" w:name="_Toc5966611"/>
      <w:r w:rsidRPr="004B06E3">
        <w:t>Data Collection Requirements</w:t>
      </w:r>
      <w:bookmarkEnd w:id="30"/>
      <w:bookmarkEnd w:id="31"/>
      <w:bookmarkEnd w:id="32"/>
      <w:r w:rsidRPr="004B06E3">
        <w:t xml:space="preserve"> </w:t>
      </w:r>
    </w:p>
    <w:p w14:paraId="49298D4E" w14:textId="4F366D0D" w:rsidR="00750840" w:rsidRDefault="00190874" w:rsidP="004B06E3">
      <w:r>
        <w:t>Data collection requirements are to be determined.</w:t>
      </w:r>
    </w:p>
    <w:p w14:paraId="76025BBE" w14:textId="77777777" w:rsidR="00190874" w:rsidRPr="004B06E3" w:rsidRDefault="00190874" w:rsidP="004B06E3"/>
    <w:p w14:paraId="4891FCAB" w14:textId="77777777" w:rsidR="007D230B" w:rsidRPr="004B06E3" w:rsidRDefault="007D230B" w:rsidP="00462BB6">
      <w:pPr>
        <w:pStyle w:val="eTRMHeading3"/>
      </w:pPr>
      <w:bookmarkStart w:id="33" w:name="_Toc486490855"/>
      <w:bookmarkStart w:id="34" w:name="_Toc486580926"/>
      <w:bookmarkStart w:id="35" w:name="_Toc5966612"/>
      <w:r w:rsidRPr="004B06E3">
        <w:lastRenderedPageBreak/>
        <w:t>Use Category</w:t>
      </w:r>
      <w:bookmarkEnd w:id="33"/>
      <w:bookmarkEnd w:id="34"/>
      <w:bookmarkEnd w:id="35"/>
    </w:p>
    <w:p w14:paraId="69458728" w14:textId="34C412D0" w:rsidR="00132E1A" w:rsidRPr="00FD2C98" w:rsidRDefault="00017097" w:rsidP="004B06E3">
      <w:pPr>
        <w:rPr>
          <w:rFonts w:cs="Calibri Light"/>
        </w:rPr>
      </w:pPr>
      <w:r w:rsidRPr="00FD2C98">
        <w:rPr>
          <w:rFonts w:cs="Calibri Light"/>
          <w:szCs w:val="22"/>
        </w:rPr>
        <w:t>Service &amp; domestic hot water</w:t>
      </w:r>
    </w:p>
    <w:p w14:paraId="7E142C41" w14:textId="77777777" w:rsidR="00017097" w:rsidRDefault="00017097" w:rsidP="00315810">
      <w:pPr>
        <w:pStyle w:val="eTRMHeading3"/>
      </w:pPr>
      <w:bookmarkStart w:id="36" w:name="_Toc486490857"/>
      <w:bookmarkStart w:id="37" w:name="_Toc486580928"/>
      <w:bookmarkStart w:id="38" w:name="_Toc5966613"/>
    </w:p>
    <w:p w14:paraId="4B62D367" w14:textId="743A5D24" w:rsidR="007D230B" w:rsidRPr="004B06E3" w:rsidRDefault="007D230B" w:rsidP="00315810">
      <w:pPr>
        <w:pStyle w:val="eTRMHeading3"/>
      </w:pPr>
      <w:r w:rsidRPr="004B06E3">
        <w:t>Electric Savings</w:t>
      </w:r>
      <w:r w:rsidR="00245AFF" w:rsidRPr="004B06E3">
        <w:t xml:space="preserve"> (</w:t>
      </w:r>
      <w:r w:rsidR="00E14349" w:rsidRPr="001D5580">
        <w:rPr>
          <w:caps w:val="0"/>
        </w:rPr>
        <w:t>k</w:t>
      </w:r>
      <w:r w:rsidR="00245AFF" w:rsidRPr="001D5580">
        <w:rPr>
          <w:caps w:val="0"/>
        </w:rPr>
        <w:t>Wh</w:t>
      </w:r>
      <w:r w:rsidR="00245AFF" w:rsidRPr="004B06E3">
        <w:t>)</w:t>
      </w:r>
      <w:bookmarkEnd w:id="36"/>
      <w:bookmarkEnd w:id="37"/>
      <w:bookmarkEnd w:id="38"/>
    </w:p>
    <w:p w14:paraId="19A470EA" w14:textId="045B0CC1" w:rsidR="00515479" w:rsidRDefault="00017097" w:rsidP="00AB71BC">
      <w:r>
        <w:t>Not Applicable</w:t>
      </w:r>
    </w:p>
    <w:p w14:paraId="3F99117E" w14:textId="77777777" w:rsidR="00017097" w:rsidRDefault="00017097" w:rsidP="00BB4F22">
      <w:pPr>
        <w:pStyle w:val="eTRMHeading3"/>
      </w:pPr>
      <w:bookmarkStart w:id="39" w:name="_Toc486490856"/>
      <w:bookmarkStart w:id="40" w:name="_Toc486580927"/>
      <w:bookmarkStart w:id="41" w:name="_Toc5966614"/>
    </w:p>
    <w:p w14:paraId="46B7702E" w14:textId="340504E2" w:rsidR="00BB4F22" w:rsidRPr="004B06E3" w:rsidRDefault="00BB4F22" w:rsidP="00BB4F22">
      <w:pPr>
        <w:pStyle w:val="eTRMHeading3"/>
      </w:pPr>
      <w:r w:rsidRPr="004B06E3">
        <w:t>Peak Electric Demand Reduction (</w:t>
      </w:r>
      <w:r w:rsidRPr="0026110B">
        <w:rPr>
          <w:caps w:val="0"/>
        </w:rPr>
        <w:t>kW</w:t>
      </w:r>
      <w:r w:rsidRPr="004B06E3">
        <w:t>)</w:t>
      </w:r>
      <w:bookmarkEnd w:id="39"/>
      <w:bookmarkEnd w:id="40"/>
      <w:bookmarkEnd w:id="41"/>
    </w:p>
    <w:p w14:paraId="5F02380A" w14:textId="48601BB3" w:rsidR="005C7B6B" w:rsidRDefault="00017097" w:rsidP="005C7B6B">
      <w:r>
        <w:t>Not Applicable</w:t>
      </w:r>
    </w:p>
    <w:p w14:paraId="0228A6F7" w14:textId="77777777" w:rsidR="007A1D2D" w:rsidRPr="005C36B6" w:rsidRDefault="007A1D2D" w:rsidP="007A1D2D"/>
    <w:p w14:paraId="02E97124" w14:textId="77777777" w:rsidR="00177EB6" w:rsidRPr="004B06E3" w:rsidRDefault="00177EB6" w:rsidP="00177EB6">
      <w:pPr>
        <w:pStyle w:val="eTRMHeading3"/>
      </w:pPr>
      <w:bookmarkStart w:id="42" w:name="_Toc486490858"/>
      <w:bookmarkStart w:id="43" w:name="_Toc486580929"/>
      <w:bookmarkStart w:id="44" w:name="_Toc5966615"/>
      <w:r w:rsidRPr="004B06E3">
        <w:t>Gas Savings (</w:t>
      </w:r>
      <w:proofErr w:type="spellStart"/>
      <w:r w:rsidRPr="0026110B">
        <w:rPr>
          <w:caps w:val="0"/>
        </w:rPr>
        <w:t>Therms</w:t>
      </w:r>
      <w:proofErr w:type="spellEnd"/>
      <w:r w:rsidRPr="004B06E3">
        <w:t>)</w:t>
      </w:r>
      <w:bookmarkEnd w:id="42"/>
      <w:bookmarkEnd w:id="43"/>
      <w:bookmarkEnd w:id="44"/>
    </w:p>
    <w:p w14:paraId="55F9F5F8" w14:textId="77777777" w:rsidR="005C7B6B" w:rsidRDefault="005C7B6B" w:rsidP="005C7B6B">
      <w:pPr>
        <w:pStyle w:val="eTRMHeading4"/>
      </w:pPr>
      <w:r>
        <w:t>Methodology</w:t>
      </w:r>
    </w:p>
    <w:p w14:paraId="20C62437" w14:textId="4DC8FBFC" w:rsidR="00405C0A" w:rsidRDefault="00405C0A" w:rsidP="00405C0A">
      <w:r w:rsidRPr="008501F9">
        <w:t>The</w:t>
      </w:r>
      <w:r w:rsidR="00EF5328">
        <w:t xml:space="preserve"> annual</w:t>
      </w:r>
      <w:r w:rsidRPr="008501F9">
        <w:t xml:space="preserve"> </w:t>
      </w:r>
      <w:r>
        <w:t xml:space="preserve">gas unit energy </w:t>
      </w:r>
      <w:r w:rsidRPr="008501F9">
        <w:t>savings</w:t>
      </w:r>
      <w:r>
        <w:t xml:space="preserve"> (UES)</w:t>
      </w:r>
      <w:r w:rsidRPr="008501F9">
        <w:t xml:space="preserve"> </w:t>
      </w:r>
      <w:r w:rsidR="00A37C6F">
        <w:t>of</w:t>
      </w:r>
      <w:r w:rsidRPr="008501F9">
        <w:t xml:space="preserve"> this </w:t>
      </w:r>
      <w:r>
        <w:t>measure</w:t>
      </w:r>
      <w:r w:rsidRPr="008501F9">
        <w:t xml:space="preserve"> </w:t>
      </w:r>
      <w:r>
        <w:t>is the result of</w:t>
      </w:r>
      <w:r w:rsidRPr="008501F9">
        <w:t xml:space="preserve"> reduced heat losses</w:t>
      </w:r>
      <w:r w:rsidR="00840FC2">
        <w:t xml:space="preserve"> in</w:t>
      </w:r>
      <w:r w:rsidRPr="008501F9">
        <w:t xml:space="preserve"> </w:t>
      </w:r>
      <w:r w:rsidR="00361280">
        <w:t>both hot water and cold</w:t>
      </w:r>
      <w:r w:rsidR="00EF5328">
        <w:t>-</w:t>
      </w:r>
      <w:r w:rsidR="00361280">
        <w:t>water lines</w:t>
      </w:r>
      <w:r w:rsidRPr="008501F9">
        <w:t xml:space="preserve"> </w:t>
      </w:r>
      <w:r>
        <w:t xml:space="preserve">and the </w:t>
      </w:r>
      <w:r w:rsidRPr="008501F9">
        <w:t xml:space="preserve">reduced heating load on the connected gas-fired equipment. The </w:t>
      </w:r>
      <w:r w:rsidR="00A37C6F">
        <w:t>annual gas UES</w:t>
      </w:r>
      <w:r w:rsidRPr="008501F9">
        <w:t xml:space="preserve"> </w:t>
      </w:r>
      <w:r w:rsidR="00A37C6F">
        <w:t xml:space="preserve">are </w:t>
      </w:r>
      <w:r w:rsidRPr="008501F9">
        <w:t xml:space="preserve">calculated as the difference in heat losses between the uninsulated </w:t>
      </w:r>
      <w:r w:rsidR="00783AD0">
        <w:t>pipe</w:t>
      </w:r>
      <w:r w:rsidRPr="008501F9">
        <w:t xml:space="preserve"> (base case) and the insulated surface (measure</w:t>
      </w:r>
      <w:r>
        <w:t xml:space="preserve"> case</w:t>
      </w:r>
      <w:r w:rsidRPr="008501F9">
        <w:t xml:space="preserve">). </w:t>
      </w:r>
      <w:r>
        <w:t>The a</w:t>
      </w:r>
      <w:r w:rsidRPr="008501F9">
        <w:t xml:space="preserve">verage </w:t>
      </w:r>
      <w:r w:rsidR="00783AD0">
        <w:t>water heater</w:t>
      </w:r>
      <w:r w:rsidR="00A37C6F">
        <w:t xml:space="preserve"> Uniform Energy Factor</w:t>
      </w:r>
      <w:r w:rsidRPr="008501F9">
        <w:t xml:space="preserve"> </w:t>
      </w:r>
      <w:r w:rsidR="00A37C6F">
        <w:t>(</w:t>
      </w:r>
      <w:r w:rsidR="00783AD0">
        <w:t>UEF</w:t>
      </w:r>
      <w:r w:rsidR="00A37C6F">
        <w:t>)</w:t>
      </w:r>
      <w:r w:rsidRPr="008501F9">
        <w:t xml:space="preserve"> was then factored in to translate the reduced heat losses from the </w:t>
      </w:r>
      <w:r w:rsidR="00DE6714">
        <w:t>uninsulated pipe</w:t>
      </w:r>
      <w:r w:rsidRPr="008501F9">
        <w:t xml:space="preserve"> into </w:t>
      </w:r>
      <w:r w:rsidR="00A37C6F">
        <w:t xml:space="preserve">the </w:t>
      </w:r>
      <w:r w:rsidRPr="008501F9">
        <w:t xml:space="preserve">reduced gas consumption of the </w:t>
      </w:r>
      <w:r w:rsidR="00783AD0">
        <w:t>water heater</w:t>
      </w:r>
      <w:r w:rsidRPr="008501F9">
        <w:t xml:space="preserve">. </w:t>
      </w:r>
    </w:p>
    <w:p w14:paraId="6C680FB8" w14:textId="5BF02BE9" w:rsidR="00405C0A" w:rsidRDefault="00405C0A" w:rsidP="00405C0A">
      <w:r w:rsidRPr="008501F9">
        <w:t xml:space="preserve">The annual energy saved by </w:t>
      </w:r>
      <w:r w:rsidR="000B30B6">
        <w:t>pipe</w:t>
      </w:r>
      <w:r w:rsidRPr="008501F9">
        <w:t xml:space="preserve"> insulation can be calculated as</w:t>
      </w:r>
      <w:r>
        <w:t xml:space="preserve"> the following:</w:t>
      </w:r>
      <w:r w:rsidRPr="008501F9">
        <w:t xml:space="preserve"> </w:t>
      </w:r>
    </w:p>
    <w:p w14:paraId="6F2FF975" w14:textId="2B7383D3" w:rsidR="00405C0A" w:rsidRPr="00D12834" w:rsidRDefault="005E5B4B" w:rsidP="00405C0A">
      <w:pPr>
        <w:ind w:left="720"/>
        <w:rPr>
          <w:sz w:val="18"/>
        </w:rPr>
      </w:pPr>
      <m:oMathPara>
        <m:oMathParaPr>
          <m:jc m:val="left"/>
        </m:oMathParaPr>
        <m:oMath>
          <m:sSub>
            <m:sSubPr>
              <m:ctrlPr>
                <w:rPr>
                  <w:rFonts w:ascii="Cambria Math" w:hAnsi="Cambria Math"/>
                  <w:i/>
                  <w:sz w:val="18"/>
                </w:rPr>
              </m:ctrlPr>
            </m:sSubPr>
            <m:e>
              <m:r>
                <w:rPr>
                  <w:rFonts w:ascii="Cambria Math" w:hAnsi="Cambria Math"/>
                  <w:sz w:val="18"/>
                </w:rPr>
                <m:t>UES</m:t>
              </m:r>
            </m:e>
            <m:sub>
              <m:r>
                <w:rPr>
                  <w:rFonts w:ascii="Cambria Math" w:hAnsi="Cambria Math"/>
                  <w:sz w:val="18"/>
                </w:rPr>
                <m:t>gas</m:t>
              </m:r>
            </m:sub>
          </m:sSub>
          <m:r>
            <w:rPr>
              <w:rFonts w:ascii="Cambria Math" w:hAnsi="Cambria Math"/>
              <w:sz w:val="18"/>
            </w:rPr>
            <m:t>=</m:t>
          </m:r>
          <m:f>
            <m:fPr>
              <m:ctrlPr>
                <w:rPr>
                  <w:rFonts w:ascii="Cambria Math" w:hAnsi="Cambria Math"/>
                  <w:i/>
                  <w:sz w:val="18"/>
                </w:rPr>
              </m:ctrlPr>
            </m:fPr>
            <m:num>
              <m:r>
                <w:rPr>
                  <w:rFonts w:ascii="Cambria Math" w:hAnsi="Cambria Math"/>
                  <w:sz w:val="18"/>
                </w:rPr>
                <m:t>HOURS×(</m:t>
              </m:r>
              <m:sSub>
                <m:sSubPr>
                  <m:ctrlPr>
                    <w:rPr>
                      <w:rFonts w:ascii="Cambria Math" w:hAnsi="Cambria Math"/>
                      <w:i/>
                      <w:sz w:val="18"/>
                    </w:rPr>
                  </m:ctrlPr>
                </m:sSubPr>
                <m:e>
                  <m:r>
                    <w:rPr>
                      <w:rFonts w:ascii="Cambria Math" w:hAnsi="Cambria Math"/>
                      <w:sz w:val="18"/>
                    </w:rPr>
                    <m:t>Q</m:t>
                  </m:r>
                </m:e>
                <m:sub>
                  <m:r>
                    <w:rPr>
                      <w:rFonts w:ascii="Cambria Math" w:hAnsi="Cambria Math"/>
                      <w:sz w:val="18"/>
                    </w:rPr>
                    <m:t>b</m:t>
                  </m:r>
                </m:sub>
              </m:sSub>
              <m:r>
                <w:rPr>
                  <w:rFonts w:ascii="Cambria Math" w:hAnsi="Cambria Math"/>
                  <w:sz w:val="18"/>
                </w:rPr>
                <m:t>-</m:t>
              </m:r>
              <m:sSub>
                <m:sSubPr>
                  <m:ctrlPr>
                    <w:rPr>
                      <w:rFonts w:ascii="Cambria Math" w:hAnsi="Cambria Math"/>
                      <w:i/>
                      <w:sz w:val="18"/>
                    </w:rPr>
                  </m:ctrlPr>
                </m:sSubPr>
                <m:e>
                  <m:r>
                    <w:rPr>
                      <w:rFonts w:ascii="Cambria Math" w:hAnsi="Cambria Math"/>
                      <w:sz w:val="18"/>
                    </w:rPr>
                    <m:t>Q</m:t>
                  </m:r>
                </m:e>
                <m:sub>
                  <m:r>
                    <w:rPr>
                      <w:rFonts w:ascii="Cambria Math" w:hAnsi="Cambria Math"/>
                      <w:sz w:val="18"/>
                    </w:rPr>
                    <m:t>i</m:t>
                  </m:r>
                </m:sub>
              </m:sSub>
              <m:r>
                <w:rPr>
                  <w:rFonts w:ascii="Cambria Math" w:hAnsi="Cambria Math"/>
                  <w:sz w:val="18"/>
                </w:rPr>
                <m:t>)</m:t>
              </m:r>
            </m:num>
            <m:den>
              <m:r>
                <w:rPr>
                  <w:rFonts w:ascii="Cambria Math" w:hAnsi="Cambria Math"/>
                  <w:sz w:val="18"/>
                </w:rPr>
                <m:t>100,000×UEF</m:t>
              </m:r>
            </m:den>
          </m:f>
          <m:r>
            <w:rPr>
              <w:rFonts w:ascii="Cambria Math" w:hAnsi="Cambria Math"/>
              <w:sz w:val="18"/>
            </w:rPr>
            <m:t>×Pipeft</m:t>
          </m:r>
        </m:oMath>
      </m:oMathPara>
    </w:p>
    <w:p w14:paraId="1E81E1D6" w14:textId="77777777" w:rsidR="00405C0A" w:rsidRDefault="00405C0A" w:rsidP="00405C0A">
      <w:pPr>
        <w:ind w:left="720"/>
        <w:rPr>
          <w:rFonts w:ascii="Cambria Math" w:hAnsi="Cambria Math"/>
          <w:i/>
          <w:iCs/>
          <w:sz w:val="18"/>
          <w:szCs w:val="18"/>
        </w:rPr>
      </w:pPr>
    </w:p>
    <w:p w14:paraId="77C18A9B" w14:textId="77777777" w:rsidR="00405C0A" w:rsidRPr="00440EA6" w:rsidRDefault="00405C0A" w:rsidP="00405C0A">
      <w:pPr>
        <w:keepNext/>
        <w:keepLines/>
        <w:tabs>
          <w:tab w:val="left" w:pos="2430"/>
        </w:tabs>
        <w:spacing w:before="20" w:after="20"/>
        <w:ind w:left="1440"/>
        <w:rPr>
          <w:rFonts w:ascii="Cambria Math" w:hAnsi="Cambria Math"/>
          <w:i/>
          <w:iCs/>
          <w:sz w:val="18"/>
          <w:szCs w:val="18"/>
        </w:rPr>
      </w:pPr>
      <w:proofErr w:type="spellStart"/>
      <w:r>
        <w:rPr>
          <w:rFonts w:ascii="Cambria Math" w:hAnsi="Cambria Math"/>
          <w:i/>
          <w:iCs/>
          <w:sz w:val="18"/>
          <w:szCs w:val="18"/>
        </w:rPr>
        <w:t>UES</w:t>
      </w:r>
      <w:r w:rsidRPr="00FE0E1E">
        <w:rPr>
          <w:rFonts w:ascii="Cambria Math" w:hAnsi="Cambria Math"/>
          <w:i/>
          <w:iCs/>
          <w:sz w:val="18"/>
          <w:szCs w:val="18"/>
          <w:vertAlign w:val="subscript"/>
        </w:rPr>
        <w:t>gas</w:t>
      </w:r>
      <w:proofErr w:type="spellEnd"/>
      <w:r w:rsidRPr="00440EA6">
        <w:rPr>
          <w:rFonts w:ascii="Cambria Math" w:hAnsi="Cambria Math"/>
          <w:i/>
          <w:iCs/>
          <w:sz w:val="18"/>
          <w:szCs w:val="18"/>
        </w:rPr>
        <w:t xml:space="preserve">= </w:t>
      </w:r>
      <w:r>
        <w:rPr>
          <w:rFonts w:ascii="Cambria Math" w:hAnsi="Cambria Math"/>
          <w:i/>
          <w:iCs/>
          <w:sz w:val="18"/>
          <w:szCs w:val="18"/>
        </w:rPr>
        <w:tab/>
        <w:t>A</w:t>
      </w:r>
      <w:r w:rsidRPr="00440EA6">
        <w:rPr>
          <w:rFonts w:ascii="Cambria Math" w:hAnsi="Cambria Math"/>
          <w:i/>
          <w:iCs/>
          <w:sz w:val="18"/>
          <w:szCs w:val="18"/>
        </w:rPr>
        <w:t xml:space="preserve">nnual </w:t>
      </w:r>
      <w:r>
        <w:rPr>
          <w:rFonts w:ascii="Cambria Math" w:hAnsi="Cambria Math"/>
          <w:i/>
          <w:iCs/>
          <w:sz w:val="18"/>
          <w:szCs w:val="18"/>
        </w:rPr>
        <w:t xml:space="preserve">gas unit </w:t>
      </w:r>
      <w:r w:rsidRPr="00440EA6">
        <w:rPr>
          <w:rFonts w:ascii="Cambria Math" w:hAnsi="Cambria Math"/>
          <w:i/>
          <w:iCs/>
          <w:sz w:val="18"/>
          <w:szCs w:val="18"/>
        </w:rPr>
        <w:t xml:space="preserve">energy savings (in </w:t>
      </w:r>
      <w:proofErr w:type="spellStart"/>
      <w:r w:rsidRPr="00440EA6">
        <w:rPr>
          <w:rFonts w:ascii="Cambria Math" w:hAnsi="Cambria Math"/>
          <w:i/>
          <w:iCs/>
          <w:sz w:val="18"/>
          <w:szCs w:val="18"/>
        </w:rPr>
        <w:t>therms</w:t>
      </w:r>
      <w:proofErr w:type="spellEnd"/>
      <w:r w:rsidRPr="00440EA6">
        <w:rPr>
          <w:rFonts w:ascii="Cambria Math" w:hAnsi="Cambria Math"/>
          <w:i/>
          <w:iCs/>
          <w:sz w:val="18"/>
          <w:szCs w:val="18"/>
        </w:rPr>
        <w:t>)</w:t>
      </w:r>
    </w:p>
    <w:p w14:paraId="56EF6188" w14:textId="77777777" w:rsidR="00405C0A" w:rsidRPr="00440EA6" w:rsidRDefault="00405C0A" w:rsidP="00405C0A">
      <w:pPr>
        <w:keepNext/>
        <w:keepLines/>
        <w:tabs>
          <w:tab w:val="left" w:pos="2430"/>
        </w:tabs>
        <w:spacing w:before="20" w:after="20"/>
        <w:ind w:left="1440"/>
        <w:rPr>
          <w:rFonts w:ascii="Cambria Math" w:hAnsi="Cambria Math"/>
          <w:i/>
          <w:iCs/>
          <w:sz w:val="18"/>
          <w:szCs w:val="18"/>
        </w:rPr>
      </w:pPr>
      <w:r>
        <w:rPr>
          <w:rFonts w:ascii="Cambria Math" w:hAnsi="Cambria Math"/>
          <w:i/>
          <w:iCs/>
          <w:sz w:val="18"/>
          <w:szCs w:val="18"/>
        </w:rPr>
        <w:t>HOURS</w:t>
      </w:r>
      <w:r w:rsidRPr="00440EA6">
        <w:rPr>
          <w:rFonts w:ascii="Cambria Math" w:hAnsi="Cambria Math"/>
          <w:i/>
          <w:iCs/>
          <w:sz w:val="18"/>
          <w:szCs w:val="18"/>
        </w:rPr>
        <w:t xml:space="preserve"> = </w:t>
      </w:r>
      <w:r>
        <w:rPr>
          <w:rFonts w:ascii="Cambria Math" w:hAnsi="Cambria Math"/>
          <w:i/>
          <w:iCs/>
          <w:sz w:val="18"/>
          <w:szCs w:val="18"/>
        </w:rPr>
        <w:tab/>
        <w:t>A</w:t>
      </w:r>
      <w:r w:rsidRPr="00440EA6">
        <w:rPr>
          <w:rFonts w:ascii="Cambria Math" w:hAnsi="Cambria Math"/>
          <w:i/>
          <w:iCs/>
          <w:sz w:val="18"/>
          <w:szCs w:val="18"/>
        </w:rPr>
        <w:t>nnual operating hours</w:t>
      </w:r>
    </w:p>
    <w:p w14:paraId="387D76BF" w14:textId="40772B41" w:rsidR="00405C0A" w:rsidRPr="00440EA6" w:rsidRDefault="00405C0A" w:rsidP="00405C0A">
      <w:pPr>
        <w:keepNext/>
        <w:keepLines/>
        <w:tabs>
          <w:tab w:val="left" w:pos="2430"/>
        </w:tabs>
        <w:spacing w:before="20" w:after="20"/>
        <w:ind w:left="1440"/>
        <w:rPr>
          <w:rFonts w:ascii="Cambria Math" w:hAnsi="Cambria Math"/>
          <w:i/>
          <w:sz w:val="18"/>
          <w:szCs w:val="18"/>
        </w:rPr>
      </w:pPr>
      <w:proofErr w:type="spellStart"/>
      <w:r w:rsidRPr="00440EA6">
        <w:rPr>
          <w:rFonts w:ascii="Cambria Math" w:hAnsi="Cambria Math"/>
          <w:i/>
          <w:iCs/>
          <w:sz w:val="18"/>
          <w:szCs w:val="18"/>
        </w:rPr>
        <w:t>Q</w:t>
      </w:r>
      <w:r w:rsidRPr="00440EA6">
        <w:rPr>
          <w:rFonts w:ascii="Cambria Math" w:hAnsi="Cambria Math"/>
          <w:i/>
          <w:iCs/>
          <w:sz w:val="18"/>
          <w:szCs w:val="18"/>
          <w:vertAlign w:val="subscript"/>
        </w:rPr>
        <w:t>b</w:t>
      </w:r>
      <w:proofErr w:type="spellEnd"/>
      <w:r w:rsidRPr="00440EA6">
        <w:rPr>
          <w:rFonts w:ascii="Cambria Math" w:hAnsi="Cambria Math"/>
          <w:i/>
          <w:sz w:val="18"/>
          <w:szCs w:val="18"/>
        </w:rPr>
        <w:t xml:space="preserve"> = </w:t>
      </w:r>
      <w:r>
        <w:rPr>
          <w:rFonts w:ascii="Cambria Math" w:hAnsi="Cambria Math"/>
          <w:i/>
          <w:sz w:val="18"/>
          <w:szCs w:val="18"/>
        </w:rPr>
        <w:tab/>
      </w:r>
      <w:r w:rsidRPr="00440EA6">
        <w:rPr>
          <w:rFonts w:ascii="Cambria Math" w:hAnsi="Cambria Math"/>
          <w:i/>
          <w:sz w:val="18"/>
          <w:szCs w:val="18"/>
        </w:rPr>
        <w:t xml:space="preserve">Heat Loss from Bare </w:t>
      </w:r>
      <w:r w:rsidR="007367E8">
        <w:rPr>
          <w:rFonts w:ascii="Cambria Math" w:hAnsi="Cambria Math"/>
          <w:i/>
          <w:sz w:val="18"/>
          <w:szCs w:val="18"/>
        </w:rPr>
        <w:t>pipe</w:t>
      </w:r>
      <w:r w:rsidRPr="00440EA6">
        <w:rPr>
          <w:rFonts w:ascii="Cambria Math" w:hAnsi="Cambria Math"/>
          <w:i/>
          <w:sz w:val="18"/>
          <w:szCs w:val="18"/>
        </w:rPr>
        <w:t xml:space="preserve"> (Btu/</w:t>
      </w:r>
      <w:proofErr w:type="spellStart"/>
      <w:r w:rsidRPr="00440EA6">
        <w:rPr>
          <w:rFonts w:ascii="Cambria Math" w:hAnsi="Cambria Math"/>
          <w:i/>
          <w:sz w:val="18"/>
          <w:szCs w:val="18"/>
        </w:rPr>
        <w:t>hr</w:t>
      </w:r>
      <w:proofErr w:type="spellEnd"/>
      <w:r w:rsidRPr="00440EA6">
        <w:rPr>
          <w:rFonts w:ascii="Cambria Math" w:hAnsi="Cambria Math"/>
          <w:i/>
          <w:sz w:val="18"/>
          <w:szCs w:val="18"/>
        </w:rPr>
        <w:t>/ft</w:t>
      </w:r>
      <w:r w:rsidRPr="00440EA6">
        <w:rPr>
          <w:rFonts w:ascii="Cambria Math" w:hAnsi="Cambria Math"/>
          <w:i/>
          <w:sz w:val="18"/>
          <w:szCs w:val="18"/>
          <w:vertAlign w:val="superscript"/>
        </w:rPr>
        <w:t>2</w:t>
      </w:r>
      <w:r w:rsidRPr="00440EA6">
        <w:rPr>
          <w:rFonts w:ascii="Cambria Math" w:hAnsi="Cambria Math"/>
          <w:i/>
          <w:sz w:val="18"/>
          <w:szCs w:val="18"/>
        </w:rPr>
        <w:t xml:space="preserve">) </w:t>
      </w:r>
    </w:p>
    <w:p w14:paraId="40415D25" w14:textId="4B323322" w:rsidR="00405C0A" w:rsidRPr="00440EA6" w:rsidRDefault="00405C0A" w:rsidP="00405C0A">
      <w:pPr>
        <w:keepNext/>
        <w:keepLines/>
        <w:tabs>
          <w:tab w:val="left" w:pos="2430"/>
        </w:tabs>
        <w:autoSpaceDE w:val="0"/>
        <w:autoSpaceDN w:val="0"/>
        <w:adjustRightInd w:val="0"/>
        <w:spacing w:before="20" w:after="20"/>
        <w:ind w:left="1440"/>
        <w:rPr>
          <w:rFonts w:ascii="Cambria Math" w:hAnsi="Cambria Math"/>
          <w:i/>
          <w:color w:val="000000"/>
          <w:sz w:val="18"/>
          <w:szCs w:val="18"/>
        </w:rPr>
      </w:pPr>
      <w:r w:rsidRPr="00440EA6">
        <w:rPr>
          <w:rFonts w:ascii="Cambria Math" w:hAnsi="Cambria Math"/>
          <w:i/>
          <w:iCs/>
          <w:color w:val="000000"/>
          <w:sz w:val="18"/>
          <w:szCs w:val="18"/>
        </w:rPr>
        <w:t>Q</w:t>
      </w:r>
      <w:r w:rsidRPr="00440EA6">
        <w:rPr>
          <w:rFonts w:ascii="Cambria Math" w:hAnsi="Cambria Math"/>
          <w:i/>
          <w:color w:val="000000"/>
          <w:sz w:val="18"/>
          <w:szCs w:val="18"/>
          <w:vertAlign w:val="subscript"/>
        </w:rPr>
        <w:t>i</w:t>
      </w:r>
      <w:r w:rsidRPr="00440EA6">
        <w:rPr>
          <w:rFonts w:ascii="Cambria Math" w:hAnsi="Cambria Math"/>
          <w:i/>
          <w:iCs/>
          <w:color w:val="000000"/>
          <w:sz w:val="18"/>
          <w:szCs w:val="18"/>
        </w:rPr>
        <w:t xml:space="preserve"> = </w:t>
      </w:r>
      <w:r>
        <w:rPr>
          <w:rFonts w:ascii="Cambria Math" w:hAnsi="Cambria Math"/>
          <w:i/>
          <w:iCs/>
          <w:color w:val="000000"/>
          <w:sz w:val="18"/>
          <w:szCs w:val="18"/>
        </w:rPr>
        <w:tab/>
      </w:r>
      <w:r w:rsidRPr="00440EA6">
        <w:rPr>
          <w:rFonts w:ascii="Cambria Math" w:hAnsi="Cambria Math"/>
          <w:i/>
          <w:color w:val="000000"/>
          <w:sz w:val="18"/>
          <w:szCs w:val="18"/>
        </w:rPr>
        <w:t xml:space="preserve">Heat Loss from Insulated </w:t>
      </w:r>
      <w:r w:rsidR="007367E8">
        <w:rPr>
          <w:rFonts w:ascii="Cambria Math" w:hAnsi="Cambria Math"/>
          <w:i/>
          <w:color w:val="000000"/>
          <w:sz w:val="18"/>
          <w:szCs w:val="18"/>
        </w:rPr>
        <w:t>pipe</w:t>
      </w:r>
      <w:r w:rsidRPr="00440EA6">
        <w:rPr>
          <w:rFonts w:ascii="Cambria Math" w:hAnsi="Cambria Math"/>
          <w:i/>
          <w:color w:val="000000"/>
          <w:sz w:val="18"/>
          <w:szCs w:val="18"/>
        </w:rPr>
        <w:t xml:space="preserve"> (Btu/</w:t>
      </w:r>
      <w:proofErr w:type="spellStart"/>
      <w:r w:rsidRPr="00440EA6">
        <w:rPr>
          <w:rFonts w:ascii="Cambria Math" w:hAnsi="Cambria Math"/>
          <w:i/>
          <w:color w:val="000000"/>
          <w:sz w:val="18"/>
          <w:szCs w:val="18"/>
        </w:rPr>
        <w:t>hr</w:t>
      </w:r>
      <w:proofErr w:type="spellEnd"/>
      <w:r w:rsidRPr="00440EA6">
        <w:rPr>
          <w:rFonts w:ascii="Cambria Math" w:hAnsi="Cambria Math"/>
          <w:i/>
          <w:color w:val="000000"/>
          <w:sz w:val="18"/>
          <w:szCs w:val="18"/>
        </w:rPr>
        <w:t>/ft</w:t>
      </w:r>
      <w:r w:rsidRPr="00440EA6">
        <w:rPr>
          <w:rFonts w:ascii="Cambria Math" w:hAnsi="Cambria Math"/>
          <w:i/>
          <w:color w:val="000000"/>
          <w:sz w:val="18"/>
          <w:szCs w:val="18"/>
          <w:vertAlign w:val="superscript"/>
        </w:rPr>
        <w:t>2</w:t>
      </w:r>
      <w:r w:rsidRPr="00440EA6">
        <w:rPr>
          <w:rFonts w:ascii="Cambria Math" w:hAnsi="Cambria Math"/>
          <w:i/>
          <w:color w:val="000000"/>
          <w:sz w:val="18"/>
          <w:szCs w:val="18"/>
        </w:rPr>
        <w:t xml:space="preserve">) </w:t>
      </w:r>
    </w:p>
    <w:p w14:paraId="269F3387" w14:textId="76A228E3" w:rsidR="00405C0A" w:rsidRDefault="008C7D26" w:rsidP="00405C0A">
      <w:pPr>
        <w:keepNext/>
        <w:keepLines/>
        <w:tabs>
          <w:tab w:val="left" w:pos="2430"/>
        </w:tabs>
        <w:autoSpaceDE w:val="0"/>
        <w:autoSpaceDN w:val="0"/>
        <w:adjustRightInd w:val="0"/>
        <w:spacing w:before="20" w:after="20"/>
        <w:ind w:left="1440"/>
        <w:rPr>
          <w:rFonts w:ascii="Cambria Math" w:hAnsi="Cambria Math"/>
          <w:i/>
          <w:color w:val="000000"/>
          <w:sz w:val="18"/>
          <w:szCs w:val="18"/>
        </w:rPr>
      </w:pPr>
      <w:r>
        <w:rPr>
          <w:rFonts w:ascii="Cambria Math" w:hAnsi="Cambria Math"/>
          <w:i/>
          <w:color w:val="000000"/>
          <w:sz w:val="18"/>
          <w:szCs w:val="18"/>
        </w:rPr>
        <w:t>U</w:t>
      </w:r>
      <w:r w:rsidR="00405C0A" w:rsidRPr="00440EA6">
        <w:rPr>
          <w:rFonts w:ascii="Cambria Math" w:hAnsi="Cambria Math"/>
          <w:i/>
          <w:color w:val="000000"/>
          <w:sz w:val="18"/>
          <w:szCs w:val="18"/>
        </w:rPr>
        <w:t>E</w:t>
      </w:r>
      <w:r w:rsidR="00405C0A">
        <w:rPr>
          <w:rFonts w:ascii="Cambria Math" w:hAnsi="Cambria Math"/>
          <w:i/>
          <w:color w:val="000000"/>
          <w:sz w:val="18"/>
          <w:szCs w:val="18"/>
        </w:rPr>
        <w:t>F</w:t>
      </w:r>
      <w:r w:rsidR="00405C0A" w:rsidRPr="00440EA6">
        <w:rPr>
          <w:rFonts w:ascii="Cambria Math" w:hAnsi="Cambria Math"/>
          <w:i/>
          <w:color w:val="000000"/>
          <w:sz w:val="18"/>
          <w:szCs w:val="18"/>
        </w:rPr>
        <w:t xml:space="preserve"> = </w:t>
      </w:r>
      <w:r w:rsidR="00405C0A">
        <w:rPr>
          <w:rFonts w:ascii="Cambria Math" w:hAnsi="Cambria Math"/>
          <w:i/>
          <w:color w:val="000000"/>
          <w:sz w:val="18"/>
          <w:szCs w:val="18"/>
        </w:rPr>
        <w:tab/>
      </w:r>
      <w:r w:rsidR="008E7F46">
        <w:rPr>
          <w:rFonts w:ascii="Cambria Math" w:hAnsi="Cambria Math"/>
          <w:i/>
          <w:color w:val="000000"/>
          <w:sz w:val="18"/>
          <w:szCs w:val="18"/>
        </w:rPr>
        <w:t>Uniform Energy factor of water heater</w:t>
      </w:r>
      <w:r w:rsidR="00405C0A" w:rsidRPr="00440EA6">
        <w:rPr>
          <w:rFonts w:ascii="Cambria Math" w:hAnsi="Cambria Math"/>
          <w:i/>
          <w:color w:val="000000"/>
          <w:sz w:val="18"/>
          <w:szCs w:val="18"/>
        </w:rPr>
        <w:t xml:space="preserve"> </w:t>
      </w:r>
    </w:p>
    <w:p w14:paraId="448888C6" w14:textId="1463F0EC" w:rsidR="00405C0A" w:rsidRPr="00BC3F68" w:rsidRDefault="00E95C91" w:rsidP="00405C0A">
      <w:pPr>
        <w:tabs>
          <w:tab w:val="left" w:pos="2430"/>
        </w:tabs>
        <w:autoSpaceDE w:val="0"/>
        <w:autoSpaceDN w:val="0"/>
        <w:adjustRightInd w:val="0"/>
        <w:spacing w:before="20" w:after="20"/>
        <w:ind w:left="1440"/>
        <w:rPr>
          <w:rFonts w:ascii="Cambria Math" w:eastAsia="Times New Roman" w:hAnsi="Cambria Math"/>
          <w:i/>
          <w:color w:val="000000"/>
          <w:sz w:val="18"/>
          <w:szCs w:val="18"/>
          <w:vertAlign w:val="superscript"/>
        </w:rPr>
      </w:pPr>
      <w:proofErr w:type="spellStart"/>
      <w:r>
        <w:rPr>
          <w:rFonts w:ascii="Cambria Math" w:eastAsia="Times New Roman" w:hAnsi="Cambria Math"/>
          <w:i/>
          <w:color w:val="000000"/>
          <w:sz w:val="18"/>
          <w:szCs w:val="18"/>
        </w:rPr>
        <w:t>Pipeft</w:t>
      </w:r>
      <w:proofErr w:type="spellEnd"/>
      <w:r w:rsidR="00405C0A" w:rsidRPr="00BC3F68">
        <w:rPr>
          <w:rFonts w:ascii="Cambria Math" w:eastAsia="Times New Roman" w:hAnsi="Cambria Math"/>
          <w:i/>
          <w:color w:val="000000"/>
          <w:sz w:val="18"/>
          <w:szCs w:val="18"/>
        </w:rPr>
        <w:t xml:space="preserve">= </w:t>
      </w:r>
      <w:r w:rsidR="00405C0A">
        <w:rPr>
          <w:rFonts w:ascii="Cambria Math" w:eastAsia="Times New Roman" w:hAnsi="Cambria Math"/>
          <w:i/>
          <w:color w:val="000000"/>
          <w:sz w:val="18"/>
          <w:szCs w:val="18"/>
        </w:rPr>
        <w:tab/>
      </w:r>
      <w:r w:rsidR="006A2B3E">
        <w:rPr>
          <w:rFonts w:ascii="Cambria Math" w:eastAsia="Times New Roman" w:hAnsi="Cambria Math"/>
          <w:i/>
          <w:color w:val="000000"/>
          <w:sz w:val="18"/>
          <w:szCs w:val="18"/>
        </w:rPr>
        <w:t>Length of pipe to be insulated</w:t>
      </w:r>
      <w:r w:rsidR="00405C0A" w:rsidRPr="00BC3F68">
        <w:rPr>
          <w:rFonts w:ascii="Cambria Math" w:eastAsia="Times New Roman" w:hAnsi="Cambria Math"/>
          <w:i/>
          <w:color w:val="000000"/>
          <w:sz w:val="18"/>
          <w:szCs w:val="18"/>
        </w:rPr>
        <w:t xml:space="preserve"> (ft</w:t>
      </w:r>
      <w:r w:rsidR="00405C0A" w:rsidRPr="00FE0E1E">
        <w:rPr>
          <w:rFonts w:ascii="Cambria Math" w:eastAsia="Times New Roman" w:hAnsi="Cambria Math"/>
          <w:i/>
          <w:color w:val="000000"/>
          <w:sz w:val="18"/>
          <w:szCs w:val="18"/>
        </w:rPr>
        <w:t>)</w:t>
      </w:r>
    </w:p>
    <w:p w14:paraId="44F3FFC0" w14:textId="77777777" w:rsidR="00405C0A" w:rsidRPr="00440EA6" w:rsidRDefault="00405C0A" w:rsidP="00405C0A">
      <w:pPr>
        <w:keepNext/>
        <w:keepLines/>
        <w:tabs>
          <w:tab w:val="left" w:pos="2430"/>
        </w:tabs>
        <w:autoSpaceDE w:val="0"/>
        <w:autoSpaceDN w:val="0"/>
        <w:adjustRightInd w:val="0"/>
        <w:spacing w:before="20" w:after="20"/>
        <w:ind w:left="1440"/>
        <w:rPr>
          <w:rFonts w:ascii="Cambria Math" w:hAnsi="Cambria Math"/>
          <w:i/>
          <w:color w:val="000000"/>
          <w:sz w:val="18"/>
          <w:szCs w:val="18"/>
        </w:rPr>
      </w:pPr>
      <w:r w:rsidRPr="00440EA6">
        <w:rPr>
          <w:rFonts w:ascii="Cambria Math" w:hAnsi="Cambria Math"/>
          <w:i/>
          <w:color w:val="000000"/>
          <w:sz w:val="18"/>
          <w:szCs w:val="18"/>
        </w:rPr>
        <w:t xml:space="preserve">100,000 = </w:t>
      </w:r>
      <w:r>
        <w:rPr>
          <w:rFonts w:ascii="Cambria Math" w:hAnsi="Cambria Math"/>
          <w:i/>
          <w:color w:val="000000"/>
          <w:sz w:val="18"/>
          <w:szCs w:val="18"/>
        </w:rPr>
        <w:tab/>
        <w:t>C</w:t>
      </w:r>
      <w:r w:rsidRPr="00440EA6">
        <w:rPr>
          <w:rFonts w:ascii="Cambria Math" w:hAnsi="Cambria Math"/>
          <w:i/>
          <w:color w:val="000000"/>
          <w:sz w:val="18"/>
          <w:szCs w:val="18"/>
        </w:rPr>
        <w:t xml:space="preserve">onversion factor (1 </w:t>
      </w:r>
      <w:proofErr w:type="spellStart"/>
      <w:r w:rsidRPr="00440EA6">
        <w:rPr>
          <w:rFonts w:ascii="Cambria Math" w:hAnsi="Cambria Math"/>
          <w:i/>
          <w:color w:val="000000"/>
          <w:sz w:val="18"/>
          <w:szCs w:val="18"/>
        </w:rPr>
        <w:t>therm</w:t>
      </w:r>
      <w:proofErr w:type="spellEnd"/>
      <w:r w:rsidRPr="00440EA6">
        <w:rPr>
          <w:rFonts w:ascii="Cambria Math" w:hAnsi="Cambria Math"/>
          <w:i/>
          <w:color w:val="000000"/>
          <w:sz w:val="18"/>
          <w:szCs w:val="18"/>
        </w:rPr>
        <w:t xml:space="preserve"> = 100,000 Btu) </w:t>
      </w:r>
    </w:p>
    <w:p w14:paraId="5FA75133" w14:textId="77777777" w:rsidR="00405C0A" w:rsidRDefault="00405C0A" w:rsidP="00405C0A">
      <w:pPr>
        <w:spacing w:before="20" w:after="20"/>
      </w:pPr>
    </w:p>
    <w:p w14:paraId="2600B2DF" w14:textId="189F06A6" w:rsidR="007B004B" w:rsidRDefault="007B004B" w:rsidP="00405C0A"/>
    <w:p w14:paraId="27CED6FD" w14:textId="5206FF8D" w:rsidR="003643D6" w:rsidRDefault="003643D6" w:rsidP="003643D6">
      <w:pPr>
        <w:pStyle w:val="eTRMHeading4"/>
      </w:pPr>
      <w:r>
        <w:t>Inputs and Assumptions</w:t>
      </w:r>
    </w:p>
    <w:p w14:paraId="5E6240E4" w14:textId="7780F4DA" w:rsidR="00A37C6F" w:rsidRDefault="00A37C6F" w:rsidP="00A37C6F">
      <w:r w:rsidRPr="00A36AE0">
        <w:rPr>
          <w:b/>
        </w:rPr>
        <w:t>Annual Operating Hours.</w:t>
      </w:r>
      <w:r>
        <w:t xml:space="preserve"> The actual draw time from the DEER-WaterHeater-Calcualtor-v3.3</w:t>
      </w:r>
      <w:r>
        <w:rPr>
          <w:rStyle w:val="FootnoteReference"/>
        </w:rPr>
        <w:footnoteReference w:id="5"/>
      </w:r>
      <w:r>
        <w:t xml:space="preserve"> is negligible for this application therefore the hours of operation </w:t>
      </w:r>
      <w:r w:rsidR="00840FC2">
        <w:t>are</w:t>
      </w:r>
      <w:r>
        <w:t xml:space="preserve"> assumed to be 8,760 hrs.  </w:t>
      </w:r>
    </w:p>
    <w:p w14:paraId="689E0EA9" w14:textId="03B655C8" w:rsidR="00414077" w:rsidRDefault="00A37C6F" w:rsidP="00414077">
      <w:pPr>
        <w:rPr>
          <w:b/>
        </w:rPr>
      </w:pPr>
      <w:r w:rsidRPr="00414077">
        <w:rPr>
          <w:b/>
        </w:rPr>
        <w:t>Heat Loss.</w:t>
      </w:r>
      <w:r>
        <w:t xml:space="preserve"> </w:t>
      </w:r>
      <w:r w:rsidRPr="00414077">
        <w:t xml:space="preserve">The heat loss calculations were performed using industry-accepted software from the North American Insulation Manufacturers Association (NAIMA). The NAIMA 3E Plus v4.1 software uses the </w:t>
      </w:r>
      <w:r w:rsidRPr="00414077">
        <w:lastRenderedPageBreak/>
        <w:t>calculation methodology from</w:t>
      </w:r>
      <w:r w:rsidRPr="00A37C6F">
        <w:t xml:space="preserve"> the American Society for Testing and Materials (ASTM). </w:t>
      </w:r>
      <w:r w:rsidR="00840FC2">
        <w:t>The heat loss is simply the t</w:t>
      </w:r>
      <w:r w:rsidRPr="00A37C6F">
        <w:t xml:space="preserve">otal heat loss due to </w:t>
      </w:r>
      <w:r w:rsidR="00302F0E">
        <w:t xml:space="preserve">the </w:t>
      </w:r>
      <w:r w:rsidRPr="00A37C6F">
        <w:t>exposed pipe</w:t>
      </w:r>
      <w:r w:rsidR="00302F0E">
        <w:t xml:space="preserve"> maintaining</w:t>
      </w:r>
      <w:r w:rsidRPr="00A37C6F">
        <w:t xml:space="preserve"> a constant temperature due to conduction heating of </w:t>
      </w:r>
      <w:r w:rsidR="00302F0E">
        <w:t xml:space="preserve">the </w:t>
      </w:r>
      <w:r w:rsidRPr="00A37C6F">
        <w:t>pipe from water heater.</w:t>
      </w:r>
    </w:p>
    <w:p w14:paraId="73BE12E9" w14:textId="70D07796" w:rsidR="00414077" w:rsidRPr="00414077" w:rsidRDefault="00414077" w:rsidP="001F6B1A">
      <w:r>
        <w:rPr>
          <w:b/>
        </w:rPr>
        <w:t>Storage Water Heater</w:t>
      </w:r>
      <w:r w:rsidRPr="00A36AE0">
        <w:rPr>
          <w:b/>
        </w:rPr>
        <w:t xml:space="preserve"> </w:t>
      </w:r>
      <w:r w:rsidRPr="006D2D32">
        <w:rPr>
          <w:b/>
        </w:rPr>
        <w:t>Efficiency</w:t>
      </w:r>
      <w:r w:rsidRPr="006D2D32">
        <w:rPr>
          <w:rStyle w:val="FootnoteReference"/>
          <w:b/>
        </w:rPr>
        <w:footnoteReference w:id="6"/>
      </w:r>
      <w:r w:rsidRPr="006D2D32">
        <w:rPr>
          <w:b/>
        </w:rPr>
        <w:t>.</w:t>
      </w:r>
      <w:r w:rsidRPr="006D2D32">
        <w:t xml:space="preserve"> To convert reduced heat losses from the pipes into energy savings of the water heater, the U</w:t>
      </w:r>
      <w:r w:rsidR="000E05FE">
        <w:t>E</w:t>
      </w:r>
      <w:r w:rsidRPr="006D2D32">
        <w:t xml:space="preserve">F of the water heater needs to be considered.  The UEF used is the minimum UEF as described in statewide </w:t>
      </w:r>
      <w:r w:rsidRPr="006D2D32">
        <w:rPr>
          <w:rFonts w:cs="Calibri Light"/>
          <w:szCs w:val="22"/>
        </w:rPr>
        <w:t xml:space="preserve">workpaper SWWH012 </w:t>
      </w:r>
      <w:r w:rsidRPr="006D2D32">
        <w:rPr>
          <w:rFonts w:cs="Calibri Light"/>
          <w:bCs/>
          <w:color w:val="3D464D"/>
          <w:szCs w:val="22"/>
          <w:shd w:val="clear" w:color="auto" w:fill="FFFFFF"/>
        </w:rPr>
        <w:t>Storage Water Heater, Residential.</w:t>
      </w:r>
      <w:r w:rsidRPr="006D2D32">
        <w:t xml:space="preserve"> </w:t>
      </w:r>
    </w:p>
    <w:p w14:paraId="03C617C3" w14:textId="77777777" w:rsidR="00A37C6F" w:rsidRPr="00A37C6F" w:rsidRDefault="00A37C6F" w:rsidP="00A37C6F"/>
    <w:p w14:paraId="746BB581" w14:textId="03183136" w:rsidR="007B004B" w:rsidRDefault="007B004B" w:rsidP="007B004B">
      <w:pPr>
        <w:pStyle w:val="Caption"/>
      </w:pPr>
      <w:r>
        <w:t>Heat Loss Calculation Inputs</w:t>
      </w:r>
      <w:r w:rsidR="00B55DA5">
        <w:t xml:space="preserve"> for </w:t>
      </w:r>
      <w:r w:rsidR="00F3460D">
        <w:t>Hot Water Pipe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55"/>
        <w:gridCol w:w="1830"/>
        <w:gridCol w:w="2670"/>
        <w:gridCol w:w="2880"/>
      </w:tblGrid>
      <w:tr w:rsidR="007B004B" w:rsidRPr="00D12834" w14:paraId="3BCC8240" w14:textId="77777777" w:rsidTr="008B2B0D">
        <w:trPr>
          <w:cantSplit/>
          <w:trHeight w:val="20"/>
          <w:tblHeader/>
        </w:trPr>
        <w:tc>
          <w:tcPr>
            <w:tcW w:w="2155" w:type="dxa"/>
            <w:shd w:val="clear" w:color="auto" w:fill="F2F2F2" w:themeFill="background1" w:themeFillShade="F2"/>
          </w:tcPr>
          <w:p w14:paraId="631F1CA8" w14:textId="77777777" w:rsidR="007B004B" w:rsidRPr="00C54C5F" w:rsidRDefault="007B004B" w:rsidP="008B2B0D">
            <w:pPr>
              <w:keepNext/>
              <w:keepLines/>
              <w:spacing w:before="0" w:after="0" w:line="240" w:lineRule="auto"/>
              <w:jc w:val="center"/>
              <w:rPr>
                <w:b/>
                <w:sz w:val="20"/>
                <w:szCs w:val="20"/>
              </w:rPr>
            </w:pPr>
            <w:r w:rsidRPr="00C54C5F">
              <w:rPr>
                <w:b/>
                <w:sz w:val="20"/>
                <w:szCs w:val="20"/>
              </w:rPr>
              <w:t>Input</w:t>
            </w:r>
          </w:p>
        </w:tc>
        <w:tc>
          <w:tcPr>
            <w:tcW w:w="1830" w:type="dxa"/>
            <w:shd w:val="clear" w:color="auto" w:fill="F2F2F2" w:themeFill="background1" w:themeFillShade="F2"/>
          </w:tcPr>
          <w:p w14:paraId="3B9B508B" w14:textId="77777777" w:rsidR="007B004B" w:rsidRPr="00C54C5F" w:rsidRDefault="007B004B" w:rsidP="008B2B0D">
            <w:pPr>
              <w:keepNext/>
              <w:keepLines/>
              <w:spacing w:before="0" w:after="0" w:line="240" w:lineRule="auto"/>
              <w:jc w:val="center"/>
              <w:rPr>
                <w:b/>
                <w:sz w:val="20"/>
                <w:szCs w:val="20"/>
              </w:rPr>
            </w:pPr>
            <w:r w:rsidRPr="00C54C5F">
              <w:rPr>
                <w:b/>
                <w:sz w:val="20"/>
                <w:szCs w:val="20"/>
              </w:rPr>
              <w:t>Base Case</w:t>
            </w:r>
          </w:p>
        </w:tc>
        <w:tc>
          <w:tcPr>
            <w:tcW w:w="2670" w:type="dxa"/>
            <w:shd w:val="clear" w:color="auto" w:fill="F2F2F2" w:themeFill="background1" w:themeFillShade="F2"/>
          </w:tcPr>
          <w:p w14:paraId="506DB378" w14:textId="77777777" w:rsidR="007B004B" w:rsidRPr="00C54C5F" w:rsidRDefault="007B004B" w:rsidP="008B2B0D">
            <w:pPr>
              <w:keepNext/>
              <w:keepLines/>
              <w:spacing w:before="0" w:after="0" w:line="240" w:lineRule="auto"/>
              <w:jc w:val="center"/>
              <w:rPr>
                <w:b/>
                <w:sz w:val="20"/>
                <w:szCs w:val="20"/>
              </w:rPr>
            </w:pPr>
            <w:r w:rsidRPr="00C54C5F">
              <w:rPr>
                <w:b/>
                <w:sz w:val="20"/>
                <w:szCs w:val="20"/>
              </w:rPr>
              <w:t>Measure Case</w:t>
            </w:r>
          </w:p>
        </w:tc>
        <w:tc>
          <w:tcPr>
            <w:tcW w:w="2880" w:type="dxa"/>
            <w:shd w:val="clear" w:color="auto" w:fill="F2F2F2" w:themeFill="background1" w:themeFillShade="F2"/>
          </w:tcPr>
          <w:p w14:paraId="1B8AEDAB" w14:textId="77777777" w:rsidR="007B004B" w:rsidRPr="00C54C5F" w:rsidRDefault="007B004B" w:rsidP="008B2B0D">
            <w:pPr>
              <w:keepNext/>
              <w:keepLines/>
              <w:spacing w:before="0" w:after="0" w:line="240" w:lineRule="auto"/>
              <w:jc w:val="center"/>
              <w:rPr>
                <w:b/>
                <w:sz w:val="20"/>
                <w:szCs w:val="20"/>
              </w:rPr>
            </w:pPr>
            <w:r w:rsidRPr="00C54C5F">
              <w:rPr>
                <w:b/>
                <w:sz w:val="20"/>
                <w:szCs w:val="20"/>
              </w:rPr>
              <w:t>Source</w:t>
            </w:r>
          </w:p>
        </w:tc>
      </w:tr>
      <w:tr w:rsidR="007B004B" w:rsidRPr="00B14F7B" w14:paraId="3DCC629C" w14:textId="77777777" w:rsidTr="008B2B0D">
        <w:trPr>
          <w:cantSplit/>
          <w:trHeight w:val="20"/>
        </w:trPr>
        <w:tc>
          <w:tcPr>
            <w:tcW w:w="2155" w:type="dxa"/>
            <w:shd w:val="clear" w:color="auto" w:fill="auto"/>
          </w:tcPr>
          <w:p w14:paraId="2FADB5E1" w14:textId="77777777" w:rsidR="007B004B" w:rsidRPr="00B14F7B" w:rsidRDefault="007B004B" w:rsidP="008B2B0D">
            <w:pPr>
              <w:keepNext/>
              <w:keepLines/>
              <w:spacing w:before="0" w:after="0" w:line="240" w:lineRule="auto"/>
              <w:rPr>
                <w:sz w:val="20"/>
                <w:szCs w:val="20"/>
              </w:rPr>
            </w:pPr>
            <w:r w:rsidRPr="00B14F7B">
              <w:rPr>
                <w:sz w:val="20"/>
                <w:szCs w:val="20"/>
              </w:rPr>
              <w:t>Surface</w:t>
            </w:r>
          </w:p>
        </w:tc>
        <w:tc>
          <w:tcPr>
            <w:tcW w:w="1830" w:type="dxa"/>
          </w:tcPr>
          <w:p w14:paraId="36275068" w14:textId="77777777" w:rsidR="007B004B" w:rsidRPr="00B14F7B" w:rsidRDefault="007B004B" w:rsidP="008B2B0D">
            <w:pPr>
              <w:keepNext/>
              <w:keepLines/>
              <w:spacing w:before="0" w:after="0" w:line="240" w:lineRule="auto"/>
              <w:rPr>
                <w:sz w:val="20"/>
                <w:szCs w:val="20"/>
              </w:rPr>
            </w:pPr>
            <w:r w:rsidRPr="00B14F7B">
              <w:rPr>
                <w:sz w:val="20"/>
                <w:szCs w:val="20"/>
              </w:rPr>
              <w:t>Bare</w:t>
            </w:r>
          </w:p>
        </w:tc>
        <w:tc>
          <w:tcPr>
            <w:tcW w:w="2670" w:type="dxa"/>
          </w:tcPr>
          <w:p w14:paraId="1D446D31" w14:textId="77777777" w:rsidR="007B004B" w:rsidRPr="00B14F7B" w:rsidRDefault="007B004B" w:rsidP="008B2B0D">
            <w:pPr>
              <w:keepNext/>
              <w:keepLines/>
              <w:spacing w:before="0" w:after="0" w:line="240" w:lineRule="auto"/>
              <w:rPr>
                <w:sz w:val="20"/>
                <w:szCs w:val="20"/>
              </w:rPr>
            </w:pPr>
            <w:r w:rsidRPr="00B14F7B">
              <w:rPr>
                <w:sz w:val="20"/>
                <w:szCs w:val="20"/>
              </w:rPr>
              <w:t>Insulated</w:t>
            </w:r>
          </w:p>
        </w:tc>
        <w:tc>
          <w:tcPr>
            <w:tcW w:w="2880" w:type="dxa"/>
          </w:tcPr>
          <w:p w14:paraId="651DA83F" w14:textId="77777777" w:rsidR="007B004B" w:rsidRPr="001758F5" w:rsidRDefault="007B004B" w:rsidP="008B2B0D">
            <w:pPr>
              <w:keepNext/>
              <w:keepLines/>
              <w:spacing w:before="0" w:after="0" w:line="240" w:lineRule="auto"/>
              <w:rPr>
                <w:sz w:val="18"/>
                <w:szCs w:val="20"/>
              </w:rPr>
            </w:pPr>
            <w:r w:rsidRPr="001758F5">
              <w:rPr>
                <w:sz w:val="18"/>
                <w:szCs w:val="20"/>
              </w:rPr>
              <w:t>n/a</w:t>
            </w:r>
          </w:p>
        </w:tc>
      </w:tr>
      <w:tr w:rsidR="007B004B" w:rsidRPr="00B14F7B" w14:paraId="6ADF08C6" w14:textId="77777777" w:rsidTr="008B2B0D">
        <w:trPr>
          <w:cantSplit/>
          <w:trHeight w:val="20"/>
        </w:trPr>
        <w:tc>
          <w:tcPr>
            <w:tcW w:w="2155" w:type="dxa"/>
            <w:shd w:val="clear" w:color="auto" w:fill="auto"/>
          </w:tcPr>
          <w:p w14:paraId="64EFDFD3" w14:textId="35416C73" w:rsidR="007B004B" w:rsidRPr="00B14F7B" w:rsidRDefault="00FB1671" w:rsidP="008B2B0D">
            <w:pPr>
              <w:keepNext/>
              <w:keepLines/>
              <w:spacing w:before="0" w:after="0" w:line="240" w:lineRule="auto"/>
              <w:rPr>
                <w:sz w:val="20"/>
                <w:szCs w:val="20"/>
              </w:rPr>
            </w:pPr>
            <w:r>
              <w:rPr>
                <w:sz w:val="20"/>
                <w:szCs w:val="20"/>
              </w:rPr>
              <w:t>Pipe</w:t>
            </w:r>
            <w:r w:rsidR="007B004B" w:rsidRPr="00B14F7B">
              <w:rPr>
                <w:sz w:val="20"/>
                <w:szCs w:val="20"/>
              </w:rPr>
              <w:t xml:space="preserve"> Material</w:t>
            </w:r>
          </w:p>
        </w:tc>
        <w:tc>
          <w:tcPr>
            <w:tcW w:w="4500" w:type="dxa"/>
            <w:gridSpan w:val="2"/>
          </w:tcPr>
          <w:p w14:paraId="616A83BB" w14:textId="5B8785BD" w:rsidR="007B004B" w:rsidRPr="00E63C0F" w:rsidRDefault="007B004B" w:rsidP="008B2B0D">
            <w:pPr>
              <w:keepNext/>
              <w:keepLines/>
              <w:spacing w:before="0" w:after="0" w:line="240" w:lineRule="auto"/>
              <w:rPr>
                <w:sz w:val="20"/>
                <w:szCs w:val="20"/>
                <w:highlight w:val="yellow"/>
              </w:rPr>
            </w:pPr>
            <w:r w:rsidRPr="0033322B">
              <w:rPr>
                <w:sz w:val="20"/>
                <w:szCs w:val="20"/>
              </w:rPr>
              <w:t>Steel (Steel is the most common material for</w:t>
            </w:r>
            <w:r w:rsidR="0033322B">
              <w:rPr>
                <w:sz w:val="20"/>
                <w:szCs w:val="20"/>
              </w:rPr>
              <w:t xml:space="preserve"> residential </w:t>
            </w:r>
            <w:r w:rsidR="00C96A0C">
              <w:rPr>
                <w:sz w:val="20"/>
                <w:szCs w:val="20"/>
              </w:rPr>
              <w:t>applications</w:t>
            </w:r>
            <w:r w:rsidRPr="0033322B">
              <w:rPr>
                <w:sz w:val="20"/>
                <w:szCs w:val="20"/>
              </w:rPr>
              <w:t>)</w:t>
            </w:r>
            <w:r w:rsidRPr="0033322B">
              <w:rPr>
                <w:sz w:val="20"/>
                <w:szCs w:val="20"/>
              </w:rPr>
              <w:br/>
              <w:t>Emittance = 0.8</w:t>
            </w:r>
          </w:p>
        </w:tc>
        <w:tc>
          <w:tcPr>
            <w:tcW w:w="2880" w:type="dxa"/>
          </w:tcPr>
          <w:p w14:paraId="4E4C9438" w14:textId="77777777" w:rsidR="007B004B" w:rsidRPr="001758F5" w:rsidRDefault="007B004B" w:rsidP="008B2B0D">
            <w:pPr>
              <w:keepNext/>
              <w:keepLines/>
              <w:spacing w:before="0" w:after="0" w:line="240" w:lineRule="auto"/>
              <w:rPr>
                <w:sz w:val="18"/>
                <w:szCs w:val="20"/>
                <w:highlight w:val="yellow"/>
              </w:rPr>
            </w:pPr>
            <w:r w:rsidRPr="001758F5">
              <w:rPr>
                <w:sz w:val="18"/>
                <w:szCs w:val="20"/>
              </w:rPr>
              <w:t>Professional judgment for typical applications</w:t>
            </w:r>
          </w:p>
        </w:tc>
      </w:tr>
      <w:tr w:rsidR="001D3001" w:rsidRPr="00B14F7B" w14:paraId="6B33A699" w14:textId="77777777" w:rsidTr="008B2B0D">
        <w:trPr>
          <w:cantSplit/>
          <w:trHeight w:val="20"/>
        </w:trPr>
        <w:tc>
          <w:tcPr>
            <w:tcW w:w="2155" w:type="dxa"/>
            <w:shd w:val="clear" w:color="auto" w:fill="auto"/>
          </w:tcPr>
          <w:p w14:paraId="2830EF9E" w14:textId="4CE592A6" w:rsidR="001D3001" w:rsidRPr="00F12872" w:rsidRDefault="001D3001" w:rsidP="008B2B0D">
            <w:pPr>
              <w:keepNext/>
              <w:keepLines/>
              <w:spacing w:before="0" w:after="0" w:line="240" w:lineRule="auto"/>
              <w:rPr>
                <w:sz w:val="20"/>
                <w:szCs w:val="20"/>
              </w:rPr>
            </w:pPr>
            <w:r w:rsidRPr="00F12872">
              <w:rPr>
                <w:sz w:val="20"/>
                <w:szCs w:val="20"/>
              </w:rPr>
              <w:t>Pipe length</w:t>
            </w:r>
          </w:p>
        </w:tc>
        <w:tc>
          <w:tcPr>
            <w:tcW w:w="4500" w:type="dxa"/>
            <w:gridSpan w:val="2"/>
          </w:tcPr>
          <w:p w14:paraId="78654687" w14:textId="044ED021" w:rsidR="001D3001" w:rsidRPr="00F12872" w:rsidRDefault="001D3001" w:rsidP="008B2B0D">
            <w:pPr>
              <w:keepNext/>
              <w:keepLines/>
              <w:spacing w:before="0" w:after="0" w:line="240" w:lineRule="auto"/>
              <w:rPr>
                <w:sz w:val="20"/>
                <w:szCs w:val="20"/>
              </w:rPr>
            </w:pPr>
            <w:r w:rsidRPr="00F12872">
              <w:rPr>
                <w:sz w:val="20"/>
                <w:szCs w:val="20"/>
              </w:rPr>
              <w:t xml:space="preserve">6 ft total.  3 on both hot and </w:t>
            </w:r>
            <w:proofErr w:type="gramStart"/>
            <w:r w:rsidR="00F37748" w:rsidRPr="00F12872">
              <w:rPr>
                <w:sz w:val="20"/>
                <w:szCs w:val="20"/>
              </w:rPr>
              <w:t>cold water</w:t>
            </w:r>
            <w:proofErr w:type="gramEnd"/>
            <w:r w:rsidR="00F37748" w:rsidRPr="00F12872">
              <w:rPr>
                <w:sz w:val="20"/>
                <w:szCs w:val="20"/>
              </w:rPr>
              <w:t xml:space="preserve"> line</w:t>
            </w:r>
          </w:p>
        </w:tc>
        <w:tc>
          <w:tcPr>
            <w:tcW w:w="2880" w:type="dxa"/>
          </w:tcPr>
          <w:p w14:paraId="604FA9D8" w14:textId="2A3C9462" w:rsidR="001D3001" w:rsidRPr="00F12872" w:rsidRDefault="00F37748" w:rsidP="008B2B0D">
            <w:pPr>
              <w:keepNext/>
              <w:keepLines/>
              <w:spacing w:before="0" w:after="0" w:line="240" w:lineRule="auto"/>
              <w:rPr>
                <w:sz w:val="18"/>
                <w:szCs w:val="18"/>
              </w:rPr>
            </w:pPr>
            <w:r w:rsidRPr="00F12872">
              <w:rPr>
                <w:rFonts w:cs="Calibri Light"/>
                <w:sz w:val="18"/>
                <w:szCs w:val="18"/>
              </w:rPr>
              <w:t>SoCalGas’s Res‐Direct Install (Res‐DI) program</w:t>
            </w:r>
          </w:p>
        </w:tc>
      </w:tr>
      <w:tr w:rsidR="00EA46B7" w:rsidRPr="00B14F7B" w14:paraId="186A120D" w14:textId="77777777" w:rsidTr="008B2B0D">
        <w:trPr>
          <w:cantSplit/>
          <w:trHeight w:val="20"/>
        </w:trPr>
        <w:tc>
          <w:tcPr>
            <w:tcW w:w="2155" w:type="dxa"/>
            <w:shd w:val="clear" w:color="auto" w:fill="auto"/>
          </w:tcPr>
          <w:p w14:paraId="707A01B2" w14:textId="6CB87311" w:rsidR="00EA46B7" w:rsidRPr="00F12872" w:rsidRDefault="00336209" w:rsidP="008B2B0D">
            <w:pPr>
              <w:keepNext/>
              <w:keepLines/>
              <w:spacing w:before="0" w:after="0" w:line="240" w:lineRule="auto"/>
              <w:rPr>
                <w:sz w:val="20"/>
                <w:szCs w:val="20"/>
              </w:rPr>
            </w:pPr>
            <w:r w:rsidRPr="00F12872">
              <w:rPr>
                <w:sz w:val="20"/>
                <w:szCs w:val="20"/>
              </w:rPr>
              <w:t>Pipe Diameter</w:t>
            </w:r>
          </w:p>
        </w:tc>
        <w:tc>
          <w:tcPr>
            <w:tcW w:w="4500" w:type="dxa"/>
            <w:gridSpan w:val="2"/>
          </w:tcPr>
          <w:p w14:paraId="13A009DF" w14:textId="6371CF58" w:rsidR="00EA46B7" w:rsidRPr="00F12872" w:rsidRDefault="00336209" w:rsidP="008B2B0D">
            <w:pPr>
              <w:keepNext/>
              <w:keepLines/>
              <w:spacing w:before="0" w:after="0" w:line="240" w:lineRule="auto"/>
              <w:rPr>
                <w:sz w:val="20"/>
                <w:szCs w:val="20"/>
              </w:rPr>
            </w:pPr>
            <w:r w:rsidRPr="00F12872">
              <w:rPr>
                <w:sz w:val="20"/>
                <w:szCs w:val="20"/>
              </w:rPr>
              <w:t>¾ inch</w:t>
            </w:r>
          </w:p>
        </w:tc>
        <w:tc>
          <w:tcPr>
            <w:tcW w:w="2880" w:type="dxa"/>
          </w:tcPr>
          <w:p w14:paraId="7DA75B64" w14:textId="2DB96CF0" w:rsidR="00EA46B7" w:rsidRPr="00F12872" w:rsidRDefault="00295F7D" w:rsidP="008B2B0D">
            <w:pPr>
              <w:keepNext/>
              <w:keepLines/>
              <w:spacing w:before="0" w:after="0" w:line="240" w:lineRule="auto"/>
              <w:rPr>
                <w:rFonts w:cs="Calibri Light"/>
                <w:sz w:val="18"/>
                <w:szCs w:val="18"/>
              </w:rPr>
            </w:pPr>
            <w:r w:rsidRPr="00F12872">
              <w:rPr>
                <w:rFonts w:cs="Calibri Light"/>
                <w:sz w:val="18"/>
                <w:szCs w:val="18"/>
              </w:rPr>
              <w:t>Most typical</w:t>
            </w:r>
            <w:r w:rsidR="00B332CA" w:rsidRPr="00F12872">
              <w:rPr>
                <w:rFonts w:cs="Calibri Light"/>
                <w:sz w:val="18"/>
                <w:szCs w:val="18"/>
              </w:rPr>
              <w:t xml:space="preserve"> size</w:t>
            </w:r>
          </w:p>
        </w:tc>
      </w:tr>
      <w:tr w:rsidR="007B004B" w:rsidRPr="00B14F7B" w14:paraId="681D1EB0" w14:textId="77777777" w:rsidTr="008B2B0D">
        <w:trPr>
          <w:cantSplit/>
          <w:trHeight w:val="20"/>
        </w:trPr>
        <w:tc>
          <w:tcPr>
            <w:tcW w:w="2155" w:type="dxa"/>
            <w:shd w:val="clear" w:color="auto" w:fill="auto"/>
          </w:tcPr>
          <w:p w14:paraId="09608B5E" w14:textId="77777777" w:rsidR="007B004B" w:rsidRPr="00B14F7B" w:rsidRDefault="007B004B" w:rsidP="008B2B0D">
            <w:pPr>
              <w:keepNext/>
              <w:keepLines/>
              <w:spacing w:before="0" w:after="0" w:line="240" w:lineRule="auto"/>
              <w:rPr>
                <w:sz w:val="20"/>
                <w:szCs w:val="20"/>
              </w:rPr>
            </w:pPr>
            <w:r w:rsidRPr="00B14F7B">
              <w:rPr>
                <w:sz w:val="20"/>
                <w:szCs w:val="20"/>
              </w:rPr>
              <w:t>Insulation Material</w:t>
            </w:r>
          </w:p>
        </w:tc>
        <w:tc>
          <w:tcPr>
            <w:tcW w:w="1830" w:type="dxa"/>
          </w:tcPr>
          <w:p w14:paraId="57CF5D4E" w14:textId="47387298" w:rsidR="007B004B" w:rsidRPr="00B14F7B" w:rsidRDefault="0016761F" w:rsidP="008B2B0D">
            <w:pPr>
              <w:keepNext/>
              <w:keepLines/>
              <w:spacing w:before="0" w:after="0" w:line="240" w:lineRule="auto"/>
              <w:rPr>
                <w:sz w:val="20"/>
                <w:szCs w:val="20"/>
              </w:rPr>
            </w:pPr>
            <w:r>
              <w:rPr>
                <w:sz w:val="20"/>
                <w:szCs w:val="20"/>
              </w:rPr>
              <w:t>Bare</w:t>
            </w:r>
          </w:p>
        </w:tc>
        <w:tc>
          <w:tcPr>
            <w:tcW w:w="2670" w:type="dxa"/>
          </w:tcPr>
          <w:p w14:paraId="493B501A" w14:textId="68B23D06" w:rsidR="007B004B" w:rsidRPr="0032373D" w:rsidRDefault="00EC7749" w:rsidP="008B2B0D">
            <w:pPr>
              <w:keepNext/>
              <w:keepLines/>
              <w:spacing w:before="0" w:after="0" w:line="240" w:lineRule="auto"/>
              <w:rPr>
                <w:rFonts w:cs="Calibri Light"/>
                <w:sz w:val="20"/>
                <w:szCs w:val="20"/>
              </w:rPr>
            </w:pPr>
            <w:r w:rsidRPr="0032373D">
              <w:rPr>
                <w:rFonts w:cs="Calibri Light"/>
                <w:sz w:val="20"/>
                <w:szCs w:val="20"/>
              </w:rPr>
              <w:t>1” closed cell polyethylene foam insulation</w:t>
            </w:r>
          </w:p>
        </w:tc>
        <w:tc>
          <w:tcPr>
            <w:tcW w:w="2880" w:type="dxa"/>
          </w:tcPr>
          <w:p w14:paraId="037CDC53" w14:textId="1DAC183B" w:rsidR="007B004B" w:rsidRPr="001758F5" w:rsidRDefault="007B004B" w:rsidP="008B2B0D">
            <w:pPr>
              <w:keepNext/>
              <w:keepLines/>
              <w:spacing w:before="0" w:after="0" w:line="240" w:lineRule="auto"/>
              <w:rPr>
                <w:sz w:val="18"/>
                <w:szCs w:val="20"/>
              </w:rPr>
            </w:pPr>
            <w:r w:rsidRPr="001758F5">
              <w:rPr>
                <w:sz w:val="18"/>
                <w:szCs w:val="20"/>
              </w:rPr>
              <w:t xml:space="preserve">Professional judgment for typical </w:t>
            </w:r>
            <w:r w:rsidR="0023227F">
              <w:rPr>
                <w:sz w:val="18"/>
                <w:szCs w:val="20"/>
              </w:rPr>
              <w:t xml:space="preserve">residential </w:t>
            </w:r>
            <w:r w:rsidRPr="001758F5">
              <w:rPr>
                <w:sz w:val="18"/>
                <w:szCs w:val="20"/>
              </w:rPr>
              <w:t>applications</w:t>
            </w:r>
          </w:p>
        </w:tc>
      </w:tr>
      <w:tr w:rsidR="0016761F" w:rsidRPr="00B14F7B" w14:paraId="6240F161" w14:textId="77777777" w:rsidTr="008B2B0D">
        <w:trPr>
          <w:cantSplit/>
          <w:trHeight w:val="20"/>
        </w:trPr>
        <w:tc>
          <w:tcPr>
            <w:tcW w:w="2155" w:type="dxa"/>
            <w:shd w:val="clear" w:color="auto" w:fill="auto"/>
          </w:tcPr>
          <w:p w14:paraId="402F2B2A" w14:textId="2E7A1C29" w:rsidR="0016761F" w:rsidRPr="00B14F7B" w:rsidRDefault="0016761F" w:rsidP="008B2B0D">
            <w:pPr>
              <w:keepNext/>
              <w:keepLines/>
              <w:spacing w:before="0" w:after="0" w:line="240" w:lineRule="auto"/>
              <w:rPr>
                <w:sz w:val="20"/>
                <w:szCs w:val="20"/>
              </w:rPr>
            </w:pPr>
            <w:r>
              <w:rPr>
                <w:sz w:val="20"/>
                <w:szCs w:val="20"/>
              </w:rPr>
              <w:t xml:space="preserve">Annual Operating Hours </w:t>
            </w:r>
          </w:p>
        </w:tc>
        <w:tc>
          <w:tcPr>
            <w:tcW w:w="4500" w:type="dxa"/>
            <w:gridSpan w:val="2"/>
          </w:tcPr>
          <w:p w14:paraId="6C97D34E" w14:textId="36650CF7" w:rsidR="0016761F" w:rsidRPr="00B14F7B" w:rsidRDefault="000834AF" w:rsidP="008B2B0D">
            <w:pPr>
              <w:keepNext/>
              <w:keepLines/>
              <w:spacing w:before="0" w:after="0" w:line="240" w:lineRule="auto"/>
              <w:rPr>
                <w:sz w:val="20"/>
                <w:szCs w:val="20"/>
              </w:rPr>
            </w:pPr>
            <w:r>
              <w:rPr>
                <w:sz w:val="20"/>
                <w:szCs w:val="20"/>
              </w:rPr>
              <w:t>8,760</w:t>
            </w:r>
          </w:p>
        </w:tc>
        <w:tc>
          <w:tcPr>
            <w:tcW w:w="2880" w:type="dxa"/>
          </w:tcPr>
          <w:p w14:paraId="17924A81" w14:textId="641EFB60" w:rsidR="0016761F" w:rsidRPr="001758F5" w:rsidRDefault="0016761F" w:rsidP="008B2B0D">
            <w:pPr>
              <w:keepNext/>
              <w:keepLines/>
              <w:spacing w:before="0" w:after="0" w:line="240" w:lineRule="auto"/>
              <w:rPr>
                <w:sz w:val="18"/>
                <w:szCs w:val="20"/>
              </w:rPr>
            </w:pPr>
          </w:p>
        </w:tc>
      </w:tr>
      <w:tr w:rsidR="0016761F" w:rsidRPr="00B14F7B" w14:paraId="446C80B5" w14:textId="77777777" w:rsidTr="008B2B0D">
        <w:trPr>
          <w:cantSplit/>
          <w:trHeight w:val="20"/>
        </w:trPr>
        <w:tc>
          <w:tcPr>
            <w:tcW w:w="2155" w:type="dxa"/>
            <w:shd w:val="clear" w:color="auto" w:fill="auto"/>
          </w:tcPr>
          <w:p w14:paraId="6184A683" w14:textId="693AA146" w:rsidR="0016761F" w:rsidRDefault="0016761F" w:rsidP="008B2B0D">
            <w:pPr>
              <w:spacing w:before="0" w:after="0" w:line="240" w:lineRule="auto"/>
              <w:rPr>
                <w:sz w:val="20"/>
                <w:szCs w:val="20"/>
              </w:rPr>
            </w:pPr>
            <w:r w:rsidRPr="00B14F7B">
              <w:rPr>
                <w:sz w:val="20"/>
                <w:szCs w:val="20"/>
              </w:rPr>
              <w:t xml:space="preserve">Process Temperature </w:t>
            </w:r>
            <w:r w:rsidRPr="00B14F7B">
              <w:rPr>
                <w:sz w:val="20"/>
                <w:szCs w:val="20"/>
              </w:rPr>
              <w:br/>
              <w:t>(</w:t>
            </w:r>
            <w:r w:rsidRPr="00B14F7B">
              <w:rPr>
                <w:sz w:val="20"/>
                <w:szCs w:val="20"/>
              </w:rPr>
              <w:sym w:font="Symbol" w:char="F0B0"/>
            </w:r>
            <w:r w:rsidRPr="00B14F7B">
              <w:rPr>
                <w:sz w:val="20"/>
                <w:szCs w:val="20"/>
              </w:rPr>
              <w:t xml:space="preserve">F inside the </w:t>
            </w:r>
            <w:r>
              <w:rPr>
                <w:sz w:val="20"/>
                <w:szCs w:val="20"/>
              </w:rPr>
              <w:t>pipe</w:t>
            </w:r>
            <w:r w:rsidRPr="00B14F7B">
              <w:rPr>
                <w:sz w:val="20"/>
                <w:szCs w:val="20"/>
              </w:rPr>
              <w:t xml:space="preserve">) </w:t>
            </w:r>
          </w:p>
        </w:tc>
        <w:tc>
          <w:tcPr>
            <w:tcW w:w="4500" w:type="dxa"/>
            <w:gridSpan w:val="2"/>
          </w:tcPr>
          <w:p w14:paraId="38F4E35B" w14:textId="5496B52E" w:rsidR="0016761F" w:rsidRPr="0C0FBEB9" w:rsidRDefault="0016761F" w:rsidP="008B2B0D">
            <w:pPr>
              <w:keepNext/>
              <w:keepLines/>
              <w:spacing w:before="0" w:after="0" w:line="240" w:lineRule="auto"/>
              <w:rPr>
                <w:sz w:val="20"/>
                <w:szCs w:val="20"/>
              </w:rPr>
            </w:pPr>
            <w:r w:rsidRPr="00B14F7B">
              <w:rPr>
                <w:sz w:val="20"/>
                <w:szCs w:val="20"/>
              </w:rPr>
              <w:t>1</w:t>
            </w:r>
            <w:r w:rsidR="003473E6">
              <w:rPr>
                <w:sz w:val="20"/>
                <w:szCs w:val="20"/>
              </w:rPr>
              <w:t>0</w:t>
            </w:r>
            <w:r>
              <w:rPr>
                <w:sz w:val="20"/>
                <w:szCs w:val="20"/>
              </w:rPr>
              <w:t>0</w:t>
            </w:r>
            <w:r w:rsidRPr="00B14F7B">
              <w:rPr>
                <w:sz w:val="20"/>
                <w:szCs w:val="20"/>
              </w:rPr>
              <w:t xml:space="preserve"> </w:t>
            </w:r>
            <w:r w:rsidRPr="00B14F7B">
              <w:rPr>
                <w:sz w:val="20"/>
                <w:szCs w:val="20"/>
              </w:rPr>
              <w:sym w:font="Symbol" w:char="F0B0"/>
            </w:r>
            <w:r w:rsidRPr="00B14F7B">
              <w:rPr>
                <w:sz w:val="20"/>
                <w:szCs w:val="20"/>
              </w:rPr>
              <w:t xml:space="preserve">F </w:t>
            </w:r>
            <w:r w:rsidRPr="00B14F7B">
              <w:rPr>
                <w:sz w:val="20"/>
                <w:szCs w:val="20"/>
              </w:rPr>
              <w:br/>
            </w:r>
          </w:p>
        </w:tc>
        <w:tc>
          <w:tcPr>
            <w:tcW w:w="2880" w:type="dxa"/>
          </w:tcPr>
          <w:p w14:paraId="5A4B363A" w14:textId="77777777" w:rsidR="00BB114A" w:rsidRDefault="0016761F" w:rsidP="008B2B0D">
            <w:pPr>
              <w:keepNext/>
              <w:keepLines/>
              <w:spacing w:before="0" w:after="0" w:line="240" w:lineRule="auto"/>
              <w:rPr>
                <w:sz w:val="18"/>
                <w:szCs w:val="18"/>
              </w:rPr>
            </w:pPr>
            <w:r>
              <w:rPr>
                <w:sz w:val="18"/>
                <w:szCs w:val="18"/>
              </w:rPr>
              <w:t xml:space="preserve">Average temperature </w:t>
            </w:r>
            <w:r w:rsidR="00CE6070">
              <w:rPr>
                <w:sz w:val="18"/>
                <w:szCs w:val="18"/>
              </w:rPr>
              <w:t xml:space="preserve">between hot water and </w:t>
            </w:r>
            <w:proofErr w:type="gramStart"/>
            <w:r w:rsidR="00CE6070">
              <w:rPr>
                <w:sz w:val="18"/>
                <w:szCs w:val="18"/>
              </w:rPr>
              <w:t>cold water</w:t>
            </w:r>
            <w:proofErr w:type="gramEnd"/>
            <w:r w:rsidR="00CE6070">
              <w:rPr>
                <w:sz w:val="18"/>
                <w:szCs w:val="18"/>
              </w:rPr>
              <w:t xml:space="preserve"> pipes after draw is complete</w:t>
            </w:r>
          </w:p>
          <w:p w14:paraId="5A648493" w14:textId="77777777" w:rsidR="00BB114A" w:rsidRPr="00BB114A" w:rsidRDefault="00BB114A" w:rsidP="008B2B0D">
            <w:pPr>
              <w:keepNext/>
              <w:keepLines/>
              <w:spacing w:before="0" w:after="0" w:line="240" w:lineRule="auto"/>
              <w:rPr>
                <w:sz w:val="18"/>
                <w:szCs w:val="18"/>
              </w:rPr>
            </w:pPr>
          </w:p>
          <w:p w14:paraId="25C2FCE4" w14:textId="6F440D91" w:rsidR="0016761F" w:rsidRPr="001758F5" w:rsidRDefault="00BB114A" w:rsidP="008B2B0D">
            <w:pPr>
              <w:keepNext/>
              <w:keepLines/>
              <w:spacing w:before="0" w:after="0" w:line="240" w:lineRule="auto"/>
              <w:rPr>
                <w:sz w:val="18"/>
                <w:szCs w:val="20"/>
              </w:rPr>
            </w:pPr>
            <w:r w:rsidRPr="00BB114A">
              <w:rPr>
                <w:sz w:val="18"/>
                <w:szCs w:val="18"/>
              </w:rPr>
              <w:t>“Residential Pipe Wrap Analysis.xls”</w:t>
            </w:r>
            <w:r w:rsidR="0016761F" w:rsidRPr="0C0FBEB9">
              <w:rPr>
                <w:sz w:val="18"/>
                <w:szCs w:val="18"/>
              </w:rPr>
              <w:t xml:space="preserve"> </w:t>
            </w:r>
          </w:p>
        </w:tc>
      </w:tr>
      <w:tr w:rsidR="0016761F" w:rsidRPr="00B14F7B" w14:paraId="1A3805B6" w14:textId="77777777" w:rsidTr="008B2B0D">
        <w:trPr>
          <w:cantSplit/>
          <w:trHeight w:val="20"/>
        </w:trPr>
        <w:tc>
          <w:tcPr>
            <w:tcW w:w="2155" w:type="dxa"/>
            <w:shd w:val="clear" w:color="auto" w:fill="auto"/>
          </w:tcPr>
          <w:p w14:paraId="11927D58" w14:textId="1558564E" w:rsidR="0016761F" w:rsidRPr="00B14F7B" w:rsidRDefault="0016761F" w:rsidP="008B2B0D">
            <w:pPr>
              <w:spacing w:before="0" w:after="0" w:line="240" w:lineRule="auto"/>
              <w:rPr>
                <w:sz w:val="20"/>
                <w:szCs w:val="20"/>
              </w:rPr>
            </w:pPr>
            <w:r w:rsidRPr="00B14F7B">
              <w:rPr>
                <w:sz w:val="20"/>
                <w:szCs w:val="20"/>
              </w:rPr>
              <w:t>Annual average dry-bulb temperature (</w:t>
            </w:r>
            <w:r w:rsidRPr="00B14F7B">
              <w:rPr>
                <w:sz w:val="20"/>
                <w:szCs w:val="20"/>
              </w:rPr>
              <w:sym w:font="Symbol" w:char="F0B0"/>
            </w:r>
            <w:r w:rsidRPr="00B14F7B">
              <w:rPr>
                <w:sz w:val="20"/>
                <w:szCs w:val="20"/>
              </w:rPr>
              <w:t>F</w:t>
            </w:r>
            <w:r>
              <w:rPr>
                <w:sz w:val="20"/>
                <w:szCs w:val="20"/>
              </w:rPr>
              <w:t>)</w:t>
            </w:r>
          </w:p>
        </w:tc>
        <w:tc>
          <w:tcPr>
            <w:tcW w:w="4500" w:type="dxa"/>
            <w:gridSpan w:val="2"/>
          </w:tcPr>
          <w:p w14:paraId="3BDF476D" w14:textId="37A7424F" w:rsidR="0016761F" w:rsidRPr="00B14F7B" w:rsidRDefault="0016761F" w:rsidP="008B2B0D">
            <w:pPr>
              <w:keepNext/>
              <w:keepLines/>
              <w:spacing w:before="0" w:after="0" w:line="240" w:lineRule="auto"/>
              <w:rPr>
                <w:sz w:val="20"/>
                <w:szCs w:val="20"/>
              </w:rPr>
            </w:pPr>
            <w:r>
              <w:rPr>
                <w:sz w:val="20"/>
                <w:szCs w:val="20"/>
              </w:rPr>
              <w:t>Varies by climate zone</w:t>
            </w:r>
          </w:p>
        </w:tc>
        <w:tc>
          <w:tcPr>
            <w:tcW w:w="2880" w:type="dxa"/>
          </w:tcPr>
          <w:p w14:paraId="7FC3EBBF" w14:textId="09F2BA0C" w:rsidR="0016761F" w:rsidRPr="001758F5" w:rsidRDefault="0016761F" w:rsidP="008B2B0D">
            <w:pPr>
              <w:keepNext/>
              <w:keepLines/>
              <w:spacing w:before="0" w:after="0" w:line="240" w:lineRule="auto"/>
              <w:rPr>
                <w:sz w:val="18"/>
                <w:szCs w:val="18"/>
              </w:rPr>
            </w:pPr>
            <w:r w:rsidRPr="00226B24">
              <w:rPr>
                <w:rFonts w:cs="Calibri Light"/>
                <w:sz w:val="18"/>
              </w:rPr>
              <w:t>California Energy Commission (CEC). 2012. 2013 Building Energy Efficiency Standards for Residential and Nonresidential Buildings (Title 24): Reference Appendic</w:t>
            </w:r>
            <w:r>
              <w:rPr>
                <w:rFonts w:cs="Calibri Light"/>
                <w:sz w:val="18"/>
              </w:rPr>
              <w:t>e</w:t>
            </w:r>
            <w:r w:rsidRPr="00226B24">
              <w:rPr>
                <w:rFonts w:cs="Calibri Light"/>
                <w:sz w:val="18"/>
              </w:rPr>
              <w:t xml:space="preserve">s. CEC‐400‐2012‐005-CMF-REV3. </w:t>
            </w:r>
            <w:r>
              <w:rPr>
                <w:rFonts w:cs="Calibri Light"/>
                <w:sz w:val="18"/>
              </w:rPr>
              <w:t>Appendix JA2.</w:t>
            </w:r>
          </w:p>
        </w:tc>
      </w:tr>
      <w:tr w:rsidR="0016761F" w:rsidRPr="00B14F7B" w14:paraId="5228352D" w14:textId="77777777" w:rsidTr="008B2B0D">
        <w:trPr>
          <w:cantSplit/>
          <w:trHeight w:val="20"/>
        </w:trPr>
        <w:tc>
          <w:tcPr>
            <w:tcW w:w="2155" w:type="dxa"/>
            <w:shd w:val="clear" w:color="auto" w:fill="auto"/>
          </w:tcPr>
          <w:p w14:paraId="723FCC63" w14:textId="62502C76" w:rsidR="0016761F" w:rsidRPr="00B14F7B" w:rsidRDefault="0016761F" w:rsidP="008B2B0D">
            <w:pPr>
              <w:spacing w:before="0" w:after="0" w:line="240" w:lineRule="auto"/>
              <w:rPr>
                <w:sz w:val="20"/>
                <w:szCs w:val="20"/>
              </w:rPr>
            </w:pPr>
            <w:r w:rsidRPr="00B14F7B">
              <w:rPr>
                <w:sz w:val="20"/>
                <w:szCs w:val="20"/>
              </w:rPr>
              <w:t>Wind Speed (mph)</w:t>
            </w:r>
          </w:p>
        </w:tc>
        <w:tc>
          <w:tcPr>
            <w:tcW w:w="4500" w:type="dxa"/>
            <w:gridSpan w:val="2"/>
          </w:tcPr>
          <w:p w14:paraId="1490F7CA" w14:textId="3395DD26" w:rsidR="0016761F" w:rsidRPr="00B14F7B" w:rsidRDefault="0016761F" w:rsidP="008B2B0D">
            <w:pPr>
              <w:keepNext/>
              <w:keepLines/>
              <w:spacing w:before="0" w:after="0" w:line="240" w:lineRule="auto"/>
              <w:rPr>
                <w:sz w:val="20"/>
                <w:szCs w:val="20"/>
              </w:rPr>
            </w:pPr>
            <w:r>
              <w:rPr>
                <w:sz w:val="20"/>
                <w:szCs w:val="20"/>
              </w:rPr>
              <w:t xml:space="preserve">Varies by climate zone. </w:t>
            </w:r>
            <w:r w:rsidRPr="005D44C4">
              <w:rPr>
                <w:sz w:val="18"/>
              </w:rPr>
              <w:t>Each monthly average Wind Speed was adjusted for the proper height at the plant (30% of the speed in the weather file) since weather station wind measurements are at heights of 10 to 30 feet</w:t>
            </w:r>
          </w:p>
        </w:tc>
        <w:tc>
          <w:tcPr>
            <w:tcW w:w="2880" w:type="dxa"/>
            <w:vMerge w:val="restart"/>
          </w:tcPr>
          <w:p w14:paraId="609DE626" w14:textId="77777777" w:rsidR="0016761F" w:rsidRPr="00226B24" w:rsidRDefault="0016761F" w:rsidP="008B2B0D">
            <w:pPr>
              <w:keepNext/>
              <w:keepLines/>
              <w:spacing w:before="0" w:after="0" w:line="240" w:lineRule="auto"/>
              <w:rPr>
                <w:rFonts w:cs="Calibri Light"/>
                <w:sz w:val="18"/>
                <w:szCs w:val="20"/>
                <w:highlight w:val="yellow"/>
              </w:rPr>
            </w:pPr>
            <w:r w:rsidRPr="00226B24">
              <w:rPr>
                <w:rFonts w:cs="Calibri Light"/>
                <w:sz w:val="18"/>
              </w:rPr>
              <w:t>California Energy Commission (CEC). 2012. 2013 Building Energy Efficiency Standards for Residential and Nonresidential Buildings (Title 24): Reference Appendic</w:t>
            </w:r>
            <w:r>
              <w:rPr>
                <w:rFonts w:cs="Calibri Light"/>
                <w:sz w:val="18"/>
              </w:rPr>
              <w:t>e</w:t>
            </w:r>
            <w:r w:rsidRPr="00226B24">
              <w:rPr>
                <w:rFonts w:cs="Calibri Light"/>
                <w:sz w:val="18"/>
              </w:rPr>
              <w:t xml:space="preserve">s. CEC‐400‐2012‐005-CMF-REV3. </w:t>
            </w:r>
            <w:r>
              <w:rPr>
                <w:rFonts w:cs="Calibri Light"/>
                <w:sz w:val="18"/>
              </w:rPr>
              <w:t>Appendix JA2.</w:t>
            </w:r>
          </w:p>
          <w:p w14:paraId="187EC3BF" w14:textId="2493190C" w:rsidR="0016761F" w:rsidRPr="00226B24" w:rsidRDefault="0016761F" w:rsidP="008B2B0D">
            <w:pPr>
              <w:keepNext/>
              <w:keepLines/>
              <w:spacing w:before="0" w:after="0" w:line="240" w:lineRule="auto"/>
              <w:rPr>
                <w:rFonts w:cs="Calibri Light"/>
                <w:sz w:val="18"/>
                <w:szCs w:val="20"/>
                <w:highlight w:val="yellow"/>
              </w:rPr>
            </w:pPr>
            <w:r w:rsidRPr="001758F5">
              <w:rPr>
                <w:sz w:val="18"/>
                <w:szCs w:val="20"/>
              </w:rPr>
              <w:t>Professional judgment for typical applications</w:t>
            </w:r>
          </w:p>
        </w:tc>
      </w:tr>
      <w:tr w:rsidR="0016761F" w:rsidRPr="00B14F7B" w14:paraId="26F56FD8" w14:textId="77777777" w:rsidTr="008B2B0D">
        <w:trPr>
          <w:cantSplit/>
          <w:trHeight w:val="20"/>
        </w:trPr>
        <w:tc>
          <w:tcPr>
            <w:tcW w:w="2155" w:type="dxa"/>
            <w:shd w:val="clear" w:color="auto" w:fill="auto"/>
          </w:tcPr>
          <w:p w14:paraId="6B8CE16D" w14:textId="39FE481D" w:rsidR="0016761F" w:rsidRPr="00B14F7B" w:rsidRDefault="0016761F" w:rsidP="008B2B0D">
            <w:pPr>
              <w:spacing w:before="0" w:after="0" w:line="240" w:lineRule="auto"/>
              <w:rPr>
                <w:sz w:val="20"/>
                <w:szCs w:val="20"/>
              </w:rPr>
            </w:pPr>
            <w:r w:rsidRPr="00B14F7B">
              <w:rPr>
                <w:sz w:val="20"/>
                <w:szCs w:val="20"/>
              </w:rPr>
              <w:t xml:space="preserve">Ambient Conditions – Indoor </w:t>
            </w:r>
            <w:r>
              <w:rPr>
                <w:sz w:val="20"/>
                <w:szCs w:val="20"/>
              </w:rPr>
              <w:t>pipe</w:t>
            </w:r>
          </w:p>
        </w:tc>
        <w:tc>
          <w:tcPr>
            <w:tcW w:w="4500" w:type="dxa"/>
            <w:gridSpan w:val="2"/>
          </w:tcPr>
          <w:p w14:paraId="16B109E3" w14:textId="78307695" w:rsidR="0016761F" w:rsidRDefault="0016761F" w:rsidP="008B2B0D">
            <w:pPr>
              <w:keepNext/>
              <w:keepLines/>
              <w:spacing w:before="0" w:after="0" w:line="240" w:lineRule="auto"/>
              <w:rPr>
                <w:sz w:val="20"/>
                <w:szCs w:val="20"/>
              </w:rPr>
            </w:pPr>
            <w:r w:rsidRPr="00B14F7B">
              <w:rPr>
                <w:sz w:val="20"/>
                <w:szCs w:val="20"/>
              </w:rPr>
              <w:t xml:space="preserve">Air temperature: 75 </w:t>
            </w:r>
            <w:r w:rsidRPr="00B14F7B">
              <w:rPr>
                <w:sz w:val="20"/>
                <w:szCs w:val="20"/>
              </w:rPr>
              <w:sym w:font="Symbol" w:char="F0B0"/>
            </w:r>
            <w:r w:rsidRPr="00B14F7B">
              <w:rPr>
                <w:sz w:val="20"/>
                <w:szCs w:val="20"/>
              </w:rPr>
              <w:t xml:space="preserve">F </w:t>
            </w:r>
            <w:r w:rsidRPr="00B14F7B">
              <w:rPr>
                <w:sz w:val="20"/>
                <w:szCs w:val="20"/>
              </w:rPr>
              <w:br/>
              <w:t>Wind speed: 0 mph.</w:t>
            </w:r>
          </w:p>
        </w:tc>
        <w:tc>
          <w:tcPr>
            <w:tcW w:w="2880" w:type="dxa"/>
            <w:vMerge/>
          </w:tcPr>
          <w:p w14:paraId="20D50389" w14:textId="77777777" w:rsidR="0016761F" w:rsidRPr="00226B24" w:rsidRDefault="0016761F" w:rsidP="008B2B0D">
            <w:pPr>
              <w:keepNext/>
              <w:keepLines/>
              <w:spacing w:before="0" w:after="0" w:line="240" w:lineRule="auto"/>
              <w:rPr>
                <w:rFonts w:cs="Calibri Light"/>
                <w:sz w:val="18"/>
                <w:szCs w:val="20"/>
                <w:highlight w:val="yellow"/>
              </w:rPr>
            </w:pPr>
          </w:p>
        </w:tc>
      </w:tr>
      <w:tr w:rsidR="00B96FCD" w:rsidRPr="00B14F7B" w14:paraId="4EB07CA5" w14:textId="77777777" w:rsidTr="008B2B0D">
        <w:trPr>
          <w:cantSplit/>
          <w:trHeight w:val="20"/>
        </w:trPr>
        <w:tc>
          <w:tcPr>
            <w:tcW w:w="2155" w:type="dxa"/>
            <w:shd w:val="clear" w:color="auto" w:fill="auto"/>
          </w:tcPr>
          <w:p w14:paraId="0ABD26A1" w14:textId="7EF50716" w:rsidR="00B96FCD" w:rsidRPr="00B14F7B" w:rsidRDefault="00B96FCD" w:rsidP="008B2B0D">
            <w:pPr>
              <w:spacing w:before="0" w:after="0" w:line="240" w:lineRule="auto"/>
              <w:rPr>
                <w:sz w:val="20"/>
                <w:szCs w:val="20"/>
              </w:rPr>
            </w:pPr>
            <w:r>
              <w:rPr>
                <w:sz w:val="20"/>
                <w:szCs w:val="20"/>
              </w:rPr>
              <w:t>Water Heater UEF</w:t>
            </w:r>
          </w:p>
        </w:tc>
        <w:tc>
          <w:tcPr>
            <w:tcW w:w="4500" w:type="dxa"/>
            <w:gridSpan w:val="2"/>
          </w:tcPr>
          <w:p w14:paraId="157FB287" w14:textId="0913BDB6" w:rsidR="00B96FCD" w:rsidRPr="00B14F7B" w:rsidRDefault="00B96FCD" w:rsidP="008B2B0D">
            <w:pPr>
              <w:keepNext/>
              <w:keepLines/>
              <w:spacing w:before="0" w:after="0" w:line="240" w:lineRule="auto"/>
              <w:rPr>
                <w:sz w:val="20"/>
                <w:szCs w:val="20"/>
              </w:rPr>
            </w:pPr>
            <w:r>
              <w:rPr>
                <w:sz w:val="20"/>
                <w:szCs w:val="20"/>
              </w:rPr>
              <w:t>0.64</w:t>
            </w:r>
          </w:p>
        </w:tc>
        <w:tc>
          <w:tcPr>
            <w:tcW w:w="2880" w:type="dxa"/>
          </w:tcPr>
          <w:p w14:paraId="5EF095D2" w14:textId="37E6349C" w:rsidR="00B96FCD" w:rsidRPr="00226B24" w:rsidRDefault="00B96FCD" w:rsidP="008B2B0D">
            <w:pPr>
              <w:keepNext/>
              <w:keepLines/>
              <w:spacing w:before="0" w:after="0" w:line="240" w:lineRule="auto"/>
              <w:rPr>
                <w:rFonts w:cs="Calibri Light"/>
                <w:sz w:val="18"/>
                <w:szCs w:val="20"/>
                <w:highlight w:val="yellow"/>
              </w:rPr>
            </w:pPr>
            <w:r w:rsidRPr="006D2D32">
              <w:rPr>
                <w:rFonts w:cs="Calibri Light"/>
                <w:sz w:val="18"/>
                <w:szCs w:val="20"/>
              </w:rPr>
              <w:t>SWWH</w:t>
            </w:r>
            <w:r w:rsidR="006D2D32" w:rsidRPr="006D2D32">
              <w:rPr>
                <w:rFonts w:cs="Calibri Light"/>
                <w:sz w:val="18"/>
                <w:szCs w:val="20"/>
              </w:rPr>
              <w:t>012-01</w:t>
            </w:r>
            <w:r w:rsidR="0095099F">
              <w:rPr>
                <w:rFonts w:cs="Calibri Light"/>
                <w:sz w:val="18"/>
                <w:szCs w:val="20"/>
              </w:rPr>
              <w:t xml:space="preserve">, </w:t>
            </w:r>
            <w:r w:rsidR="0095099F" w:rsidRPr="0095099F">
              <w:rPr>
                <w:rFonts w:cs="Calibri Light"/>
                <w:bCs/>
                <w:color w:val="3D464D"/>
                <w:sz w:val="18"/>
                <w:szCs w:val="18"/>
                <w:shd w:val="clear" w:color="auto" w:fill="FFFFFF"/>
              </w:rPr>
              <w:t>Storage Water Heater, Residential</w:t>
            </w:r>
          </w:p>
        </w:tc>
      </w:tr>
    </w:tbl>
    <w:p w14:paraId="0373D097" w14:textId="77777777" w:rsidR="00F3460D" w:rsidRDefault="00F3460D" w:rsidP="007B004B">
      <w:pPr>
        <w:rPr>
          <w:sz w:val="20"/>
          <w:szCs w:val="20"/>
        </w:rPr>
      </w:pPr>
    </w:p>
    <w:p w14:paraId="245ABD69" w14:textId="6A08B9FE" w:rsidR="007B004B" w:rsidRDefault="007B004B" w:rsidP="007B004B">
      <w:r w:rsidRPr="008E3E65">
        <w:lastRenderedPageBreak/>
        <w:t xml:space="preserve">The temperature-dependent thermal conductivity of the fiberglass </w:t>
      </w:r>
      <w:r>
        <w:t>assumed in the</w:t>
      </w:r>
      <w:r w:rsidRPr="008E3E65">
        <w:t xml:space="preserve"> 3E Plus software is shown in </w:t>
      </w:r>
      <w:r>
        <w:t>below</w:t>
      </w:r>
      <w:r w:rsidRPr="008E3E65">
        <w:t xml:space="preserve">. </w:t>
      </w:r>
      <w:r w:rsidR="0023227F">
        <w:t xml:space="preserve"> </w:t>
      </w:r>
    </w:p>
    <w:p w14:paraId="48212E33" w14:textId="5C0187D2" w:rsidR="007B004B" w:rsidRDefault="0032373D" w:rsidP="007B004B">
      <w:pPr>
        <w:pStyle w:val="Caption"/>
      </w:pPr>
      <w:r>
        <w:rPr>
          <w:rFonts w:ascii="Calibri" w:hAnsi="Calibri" w:cs="Calibri"/>
        </w:rPr>
        <w:t xml:space="preserve">1” closed cell polyethylene foam </w:t>
      </w:r>
      <w:r w:rsidR="007B004B">
        <w:t>Insulation Thermal Conductivity</w:t>
      </w:r>
      <w:r w:rsidR="00E54532">
        <w:rPr>
          <w:rStyle w:val="FootnoteReference"/>
        </w:rPr>
        <w:footnoteReference w:id="7"/>
      </w:r>
    </w:p>
    <w:tbl>
      <w:tblPr>
        <w:tblW w:w="377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885"/>
        <w:gridCol w:w="1885"/>
      </w:tblGrid>
      <w:tr w:rsidR="007B004B" w:rsidRPr="00D12834" w14:paraId="0EF6291B" w14:textId="77777777" w:rsidTr="008B2B0D">
        <w:trPr>
          <w:trHeight w:val="20"/>
          <w:tblHeader/>
        </w:trPr>
        <w:tc>
          <w:tcPr>
            <w:tcW w:w="1885" w:type="dxa"/>
            <w:shd w:val="clear" w:color="auto" w:fill="F2F2F2" w:themeFill="background1" w:themeFillShade="F2"/>
            <w:vAlign w:val="bottom"/>
          </w:tcPr>
          <w:p w14:paraId="3BF63830" w14:textId="77777777" w:rsidR="007B004B" w:rsidRPr="00D12834" w:rsidRDefault="007B004B" w:rsidP="008B2B0D">
            <w:pPr>
              <w:keepNext/>
              <w:keepLines/>
              <w:spacing w:before="100" w:beforeAutospacing="1" w:after="100" w:afterAutospacing="1"/>
              <w:jc w:val="center"/>
              <w:rPr>
                <w:b/>
                <w:sz w:val="20"/>
                <w:szCs w:val="20"/>
              </w:rPr>
            </w:pPr>
            <w:r w:rsidRPr="00D12834">
              <w:rPr>
                <w:b/>
                <w:sz w:val="20"/>
                <w:szCs w:val="20"/>
              </w:rPr>
              <w:t>Temperature (</w:t>
            </w:r>
            <w:r w:rsidRPr="00D12834">
              <w:rPr>
                <w:b/>
                <w:sz w:val="20"/>
                <w:szCs w:val="20"/>
              </w:rPr>
              <w:sym w:font="Symbol" w:char="F0B0"/>
            </w:r>
            <w:r w:rsidRPr="00D12834">
              <w:rPr>
                <w:b/>
                <w:sz w:val="20"/>
                <w:szCs w:val="20"/>
              </w:rPr>
              <w:t>F)</w:t>
            </w:r>
          </w:p>
        </w:tc>
        <w:tc>
          <w:tcPr>
            <w:tcW w:w="1885" w:type="dxa"/>
            <w:shd w:val="clear" w:color="auto" w:fill="F2F2F2" w:themeFill="background1" w:themeFillShade="F2"/>
          </w:tcPr>
          <w:p w14:paraId="6FD66539" w14:textId="77777777" w:rsidR="007B004B" w:rsidRPr="00D12834" w:rsidRDefault="007B004B" w:rsidP="008B2B0D">
            <w:pPr>
              <w:keepNext/>
              <w:keepLines/>
              <w:spacing w:before="100" w:beforeAutospacing="1" w:after="100" w:afterAutospacing="1"/>
              <w:jc w:val="center"/>
              <w:rPr>
                <w:b/>
                <w:sz w:val="20"/>
                <w:szCs w:val="20"/>
              </w:rPr>
            </w:pPr>
            <w:r>
              <w:rPr>
                <w:b/>
                <w:sz w:val="20"/>
                <w:szCs w:val="20"/>
              </w:rPr>
              <w:t xml:space="preserve">Thermal </w:t>
            </w:r>
            <w:r w:rsidRPr="00D12834">
              <w:rPr>
                <w:b/>
                <w:sz w:val="20"/>
                <w:szCs w:val="20"/>
              </w:rPr>
              <w:t>Conductivity</w:t>
            </w:r>
            <w:r>
              <w:rPr>
                <w:b/>
                <w:sz w:val="20"/>
                <w:szCs w:val="20"/>
              </w:rPr>
              <w:t xml:space="preserve"> </w:t>
            </w:r>
            <w:r>
              <w:rPr>
                <w:b/>
                <w:sz w:val="20"/>
                <w:szCs w:val="20"/>
              </w:rPr>
              <w:br/>
              <w:t>(Btu-in/hr-ft</w:t>
            </w:r>
            <w:r w:rsidRPr="00D12834">
              <w:rPr>
                <w:b/>
                <w:sz w:val="20"/>
                <w:szCs w:val="20"/>
                <w:vertAlign w:val="superscript"/>
              </w:rPr>
              <w:t>2</w:t>
            </w:r>
            <w:r>
              <w:rPr>
                <w:b/>
                <w:sz w:val="20"/>
                <w:szCs w:val="20"/>
              </w:rPr>
              <w:t>-</w:t>
            </w:r>
            <w:r w:rsidRPr="00D12834">
              <w:rPr>
                <w:b/>
                <w:sz w:val="20"/>
                <w:szCs w:val="20"/>
              </w:rPr>
              <w:sym w:font="Symbol" w:char="F0B0"/>
            </w:r>
            <w:r w:rsidRPr="00D12834">
              <w:rPr>
                <w:b/>
                <w:sz w:val="20"/>
                <w:szCs w:val="20"/>
              </w:rPr>
              <w:t>F</w:t>
            </w:r>
            <w:r>
              <w:rPr>
                <w:b/>
                <w:sz w:val="20"/>
                <w:szCs w:val="20"/>
              </w:rPr>
              <w:t>)</w:t>
            </w:r>
          </w:p>
        </w:tc>
      </w:tr>
      <w:tr w:rsidR="0032373D" w:rsidRPr="00FB030E" w14:paraId="1102CC42" w14:textId="77777777" w:rsidTr="008B2B0D">
        <w:trPr>
          <w:cantSplit/>
          <w:trHeight w:val="20"/>
        </w:trPr>
        <w:tc>
          <w:tcPr>
            <w:tcW w:w="1885" w:type="dxa"/>
            <w:shd w:val="clear" w:color="auto" w:fill="auto"/>
            <w:vAlign w:val="center"/>
          </w:tcPr>
          <w:p w14:paraId="1493ABC8" w14:textId="7841F6FA" w:rsidR="0032373D" w:rsidRPr="00FB030E" w:rsidRDefault="006938F7" w:rsidP="008B2B0D">
            <w:pPr>
              <w:spacing w:before="100" w:beforeAutospacing="1" w:after="100" w:afterAutospacing="1"/>
              <w:ind w:right="613"/>
              <w:jc w:val="right"/>
              <w:rPr>
                <w:sz w:val="20"/>
                <w:szCs w:val="20"/>
              </w:rPr>
            </w:pPr>
            <w:r>
              <w:rPr>
                <w:sz w:val="20"/>
                <w:szCs w:val="20"/>
              </w:rPr>
              <w:t>50</w:t>
            </w:r>
          </w:p>
        </w:tc>
        <w:tc>
          <w:tcPr>
            <w:tcW w:w="1885" w:type="dxa"/>
            <w:vAlign w:val="center"/>
          </w:tcPr>
          <w:p w14:paraId="0031C943" w14:textId="3A7D7DDF" w:rsidR="0032373D" w:rsidRPr="00FB030E" w:rsidRDefault="0032373D" w:rsidP="008B2B0D">
            <w:pPr>
              <w:spacing w:before="100" w:beforeAutospacing="1" w:after="100" w:afterAutospacing="1"/>
              <w:jc w:val="center"/>
              <w:rPr>
                <w:sz w:val="20"/>
                <w:szCs w:val="20"/>
              </w:rPr>
            </w:pPr>
            <w:r>
              <w:rPr>
                <w:sz w:val="20"/>
                <w:szCs w:val="20"/>
              </w:rPr>
              <w:t>0</w:t>
            </w:r>
            <w:r w:rsidR="006938F7">
              <w:rPr>
                <w:sz w:val="20"/>
                <w:szCs w:val="20"/>
              </w:rPr>
              <w:t>.265</w:t>
            </w:r>
          </w:p>
        </w:tc>
      </w:tr>
      <w:tr w:rsidR="0032373D" w:rsidRPr="00FB030E" w14:paraId="5367FA73" w14:textId="77777777" w:rsidTr="008B2B0D">
        <w:trPr>
          <w:cantSplit/>
          <w:trHeight w:val="20"/>
        </w:trPr>
        <w:tc>
          <w:tcPr>
            <w:tcW w:w="1885" w:type="dxa"/>
            <w:shd w:val="clear" w:color="auto" w:fill="auto"/>
            <w:vAlign w:val="center"/>
          </w:tcPr>
          <w:p w14:paraId="3362CD4E" w14:textId="51F1236D" w:rsidR="0032373D" w:rsidRPr="00FB030E" w:rsidRDefault="006938F7" w:rsidP="008B2B0D">
            <w:pPr>
              <w:spacing w:before="100" w:beforeAutospacing="1" w:after="100" w:afterAutospacing="1"/>
              <w:ind w:right="613"/>
              <w:jc w:val="right"/>
              <w:rPr>
                <w:sz w:val="20"/>
                <w:szCs w:val="20"/>
              </w:rPr>
            </w:pPr>
            <w:r>
              <w:rPr>
                <w:sz w:val="20"/>
                <w:szCs w:val="20"/>
              </w:rPr>
              <w:t>75</w:t>
            </w:r>
          </w:p>
        </w:tc>
        <w:tc>
          <w:tcPr>
            <w:tcW w:w="1885" w:type="dxa"/>
            <w:vAlign w:val="center"/>
          </w:tcPr>
          <w:p w14:paraId="706AFC8F" w14:textId="62B3E9F3" w:rsidR="0032373D" w:rsidRPr="00FB030E" w:rsidRDefault="0032373D" w:rsidP="008B2B0D">
            <w:pPr>
              <w:spacing w:before="100" w:beforeAutospacing="1" w:after="100" w:afterAutospacing="1"/>
              <w:jc w:val="center"/>
              <w:rPr>
                <w:sz w:val="20"/>
                <w:szCs w:val="20"/>
              </w:rPr>
            </w:pPr>
            <w:r>
              <w:rPr>
                <w:sz w:val="20"/>
                <w:szCs w:val="20"/>
              </w:rPr>
              <w:t>0.</w:t>
            </w:r>
            <w:r w:rsidR="006938F7">
              <w:rPr>
                <w:sz w:val="20"/>
                <w:szCs w:val="20"/>
              </w:rPr>
              <w:t>27</w:t>
            </w:r>
          </w:p>
        </w:tc>
      </w:tr>
      <w:tr w:rsidR="0032373D" w:rsidRPr="00FB030E" w14:paraId="30404111" w14:textId="77777777" w:rsidTr="008B2B0D">
        <w:trPr>
          <w:cantSplit/>
          <w:trHeight w:val="20"/>
        </w:trPr>
        <w:tc>
          <w:tcPr>
            <w:tcW w:w="1885" w:type="dxa"/>
            <w:shd w:val="clear" w:color="auto" w:fill="auto"/>
            <w:vAlign w:val="center"/>
          </w:tcPr>
          <w:p w14:paraId="56FFFB65" w14:textId="11077FD9" w:rsidR="0032373D" w:rsidRPr="00FB030E" w:rsidRDefault="006938F7" w:rsidP="008B2B0D">
            <w:pPr>
              <w:spacing w:before="100" w:beforeAutospacing="1" w:after="100" w:afterAutospacing="1"/>
              <w:ind w:right="613"/>
              <w:jc w:val="right"/>
              <w:rPr>
                <w:sz w:val="20"/>
                <w:szCs w:val="20"/>
              </w:rPr>
            </w:pPr>
            <w:r>
              <w:rPr>
                <w:sz w:val="20"/>
                <w:szCs w:val="20"/>
              </w:rPr>
              <w:t>100</w:t>
            </w:r>
          </w:p>
        </w:tc>
        <w:tc>
          <w:tcPr>
            <w:tcW w:w="1885" w:type="dxa"/>
            <w:vAlign w:val="center"/>
          </w:tcPr>
          <w:p w14:paraId="355C47EE" w14:textId="693F3FBF" w:rsidR="0032373D" w:rsidRPr="00FB030E" w:rsidRDefault="0032373D" w:rsidP="008B2B0D">
            <w:pPr>
              <w:spacing w:before="100" w:beforeAutospacing="1" w:after="100" w:afterAutospacing="1"/>
              <w:jc w:val="center"/>
              <w:rPr>
                <w:sz w:val="20"/>
                <w:szCs w:val="20"/>
              </w:rPr>
            </w:pPr>
            <w:r>
              <w:rPr>
                <w:sz w:val="20"/>
                <w:szCs w:val="20"/>
              </w:rPr>
              <w:t>0.</w:t>
            </w:r>
            <w:r w:rsidR="006938F7">
              <w:rPr>
                <w:sz w:val="20"/>
                <w:szCs w:val="20"/>
              </w:rPr>
              <w:t>28</w:t>
            </w:r>
          </w:p>
        </w:tc>
      </w:tr>
    </w:tbl>
    <w:p w14:paraId="15311E8B" w14:textId="77777777" w:rsidR="005C7B6B" w:rsidRPr="006D2D32" w:rsidRDefault="005C7B6B" w:rsidP="005C7B6B"/>
    <w:p w14:paraId="4DDCD51F" w14:textId="4F2BBAD7" w:rsidR="007D230B" w:rsidRPr="004B06E3" w:rsidRDefault="00245AFF" w:rsidP="00462BB6">
      <w:pPr>
        <w:pStyle w:val="eTRMHeading3"/>
      </w:pPr>
      <w:bookmarkStart w:id="45" w:name="_Toc5966616"/>
      <w:bookmarkStart w:id="46" w:name="_Toc486490859"/>
      <w:bookmarkStart w:id="47" w:name="_Toc486580930"/>
      <w:r w:rsidRPr="006D2D32">
        <w:t>Life Cycle</w:t>
      </w:r>
      <w:bookmarkEnd w:id="45"/>
      <w:r w:rsidR="007D230B" w:rsidRPr="004B06E3">
        <w:t xml:space="preserve"> </w:t>
      </w:r>
      <w:bookmarkEnd w:id="46"/>
      <w:bookmarkEnd w:id="47"/>
    </w:p>
    <w:p w14:paraId="6459579D" w14:textId="10990DA4"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06AA5F2D" w14:textId="1CF42D4B" w:rsidR="00BC5A43" w:rsidRPr="00961018" w:rsidRDefault="00BC5A43" w:rsidP="00BC5A43">
      <w:r w:rsidRPr="00961018">
        <w:t>The methodology to calculate the RUL conforms with Version 5 of the Energy Efficiency Policy Manual, which recommends “one-third of the effective useful life in DEER as the remaining useful life until further study results are available to establish more accurate values.”</w:t>
      </w:r>
      <w:r w:rsidRPr="00961018">
        <w:rPr>
          <w:vertAlign w:val="superscript"/>
        </w:rPr>
        <w:footnoteReference w:id="8"/>
      </w:r>
      <w:r w:rsidRPr="00961018">
        <w:t xml:space="preserve"> This approach provides a reasonable RUL estimate without the requiring any a priori knowledge about the age of the equipment being</w:t>
      </w:r>
      <w:r w:rsidR="00F30E5A">
        <w:t xml:space="preserve"> </w:t>
      </w:r>
      <w:r w:rsidRPr="00961018">
        <w:t>replaced.</w:t>
      </w:r>
      <w:r w:rsidRPr="00961018">
        <w:rPr>
          <w:vertAlign w:val="superscript"/>
        </w:rPr>
        <w:footnoteReference w:id="9"/>
      </w:r>
      <w:r w:rsidRPr="00961018">
        <w:t xml:space="preserve"> Further, as per Resolution E-4807, the California Public Utilities Commission (CPUC) revised add-on measures so that the EUL of the measure is equal to the lower of the RUL of the modified system or equipment or the EUL of the add-on component.” </w:t>
      </w:r>
      <w:r w:rsidRPr="00961018">
        <w:rPr>
          <w:vertAlign w:val="superscript"/>
        </w:rPr>
        <w:footnoteReference w:id="10"/>
      </w:r>
    </w:p>
    <w:p w14:paraId="5EAA23CE" w14:textId="59693874" w:rsidR="003F6C0E" w:rsidRDefault="003F6C0E" w:rsidP="003F6C0E">
      <w:r>
        <w:t xml:space="preserve">The EUL and RUL specified for pipe insulation are </w:t>
      </w:r>
      <w:r w:rsidR="00A10D63">
        <w:t>specified</w:t>
      </w:r>
      <w:r w:rsidR="00264ADD">
        <w:t xml:space="preserve"> </w:t>
      </w:r>
      <w:r>
        <w:t>below. Note that the RUL of the host water heater complies with Resolution E-4952, which stipulated host equipment RUL values for add-on equipment measures.</w:t>
      </w:r>
    </w:p>
    <w:p w14:paraId="7D542FEF" w14:textId="55C7ECFE" w:rsidR="00FD2C54" w:rsidRPr="00920905" w:rsidRDefault="00FD2C54" w:rsidP="00F8464D">
      <w:pPr>
        <w:pStyle w:val="Caption"/>
      </w:pPr>
      <w:r>
        <w:lastRenderedPageBreak/>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94"/>
        <w:gridCol w:w="669"/>
        <w:gridCol w:w="6572"/>
      </w:tblGrid>
      <w:tr w:rsidR="00485834" w:rsidRPr="00500C4E" w14:paraId="1FE81044" w14:textId="0C091959" w:rsidTr="005247E0">
        <w:trPr>
          <w:cantSplit/>
          <w:trHeight w:val="20"/>
        </w:trPr>
        <w:tc>
          <w:tcPr>
            <w:tcW w:w="2335" w:type="dxa"/>
            <w:shd w:val="clear" w:color="auto" w:fill="F2F2F2" w:themeFill="background1" w:themeFillShade="F2"/>
            <w:vAlign w:val="bottom"/>
          </w:tcPr>
          <w:p w14:paraId="1666F440" w14:textId="31AB2C31" w:rsidR="00485834" w:rsidRPr="00694410" w:rsidRDefault="00485834" w:rsidP="009C31A4">
            <w:pPr>
              <w:keepNext/>
              <w:keepLines/>
              <w:spacing w:before="20" w:after="20"/>
              <w:jc w:val="center"/>
              <w:rPr>
                <w:rFonts w:cstheme="minorHAnsi"/>
                <w:b/>
                <w:sz w:val="20"/>
                <w:szCs w:val="20"/>
              </w:rPr>
            </w:pPr>
            <w:r>
              <w:rPr>
                <w:rFonts w:cstheme="minorHAnsi"/>
                <w:b/>
                <w:sz w:val="20"/>
                <w:szCs w:val="20"/>
              </w:rPr>
              <w:t>Parameter</w:t>
            </w:r>
          </w:p>
        </w:tc>
        <w:tc>
          <w:tcPr>
            <w:tcW w:w="450" w:type="dxa"/>
            <w:shd w:val="clear" w:color="auto" w:fill="F2F2F2" w:themeFill="background1" w:themeFillShade="F2"/>
          </w:tcPr>
          <w:p w14:paraId="18E57BF8" w14:textId="7074E315" w:rsidR="00485834" w:rsidRPr="00694410" w:rsidRDefault="00485834" w:rsidP="009C31A4">
            <w:pPr>
              <w:keepNext/>
              <w:keepLines/>
              <w:spacing w:before="20" w:after="20"/>
              <w:jc w:val="center"/>
              <w:rPr>
                <w:rFonts w:cstheme="minorHAnsi"/>
                <w:b/>
                <w:sz w:val="20"/>
                <w:szCs w:val="20"/>
              </w:rPr>
            </w:pPr>
            <w:r>
              <w:rPr>
                <w:rFonts w:cstheme="minorHAnsi"/>
                <w:b/>
                <w:sz w:val="20"/>
                <w:szCs w:val="20"/>
              </w:rPr>
              <w:t>Value</w:t>
            </w:r>
          </w:p>
        </w:tc>
        <w:tc>
          <w:tcPr>
            <w:tcW w:w="6750" w:type="dxa"/>
            <w:shd w:val="clear" w:color="auto" w:fill="F2F2F2" w:themeFill="background1" w:themeFillShade="F2"/>
          </w:tcPr>
          <w:p w14:paraId="541E1750" w14:textId="139E5C00" w:rsidR="00485834" w:rsidRPr="00694410" w:rsidRDefault="00485834" w:rsidP="009C31A4">
            <w:pPr>
              <w:keepNext/>
              <w:keepLines/>
              <w:spacing w:before="20" w:after="20"/>
              <w:jc w:val="center"/>
              <w:rPr>
                <w:rFonts w:cstheme="minorHAnsi"/>
                <w:b/>
                <w:sz w:val="20"/>
                <w:szCs w:val="20"/>
              </w:rPr>
            </w:pPr>
            <w:r>
              <w:rPr>
                <w:rFonts w:cstheme="minorHAnsi"/>
                <w:b/>
                <w:sz w:val="20"/>
                <w:szCs w:val="20"/>
              </w:rPr>
              <w:t>Source</w:t>
            </w:r>
          </w:p>
        </w:tc>
      </w:tr>
      <w:tr w:rsidR="00485834" w:rsidRPr="00500C4E" w14:paraId="7B636A73" w14:textId="217149CE" w:rsidTr="005247E0">
        <w:trPr>
          <w:cantSplit/>
          <w:trHeight w:val="20"/>
        </w:trPr>
        <w:tc>
          <w:tcPr>
            <w:tcW w:w="2335" w:type="dxa"/>
          </w:tcPr>
          <w:p w14:paraId="64E6D65F" w14:textId="0CE0FF15" w:rsidR="00485834" w:rsidRPr="00577D2C" w:rsidRDefault="00485834" w:rsidP="00177EB6">
            <w:pPr>
              <w:keepNext/>
              <w:keepLines/>
              <w:spacing w:before="20" w:after="20"/>
              <w:rPr>
                <w:rFonts w:cs="Calibri Light"/>
                <w:sz w:val="18"/>
                <w:szCs w:val="18"/>
              </w:rPr>
            </w:pPr>
            <w:r w:rsidRPr="00577D2C">
              <w:rPr>
                <w:rFonts w:cs="Calibri Light"/>
                <w:sz w:val="18"/>
                <w:szCs w:val="18"/>
              </w:rPr>
              <w:t>EUL (</w:t>
            </w:r>
            <w:proofErr w:type="spellStart"/>
            <w:r w:rsidRPr="00577D2C">
              <w:rPr>
                <w:rFonts w:cs="Calibri Light"/>
                <w:sz w:val="18"/>
                <w:szCs w:val="18"/>
              </w:rPr>
              <w:t>yrs</w:t>
            </w:r>
            <w:proofErr w:type="spellEnd"/>
            <w:r w:rsidRPr="00577D2C">
              <w:rPr>
                <w:rFonts w:cs="Calibri Light"/>
                <w:sz w:val="18"/>
                <w:szCs w:val="18"/>
              </w:rPr>
              <w:t>)</w:t>
            </w:r>
            <w:r w:rsidR="00561400" w:rsidRPr="00577D2C">
              <w:rPr>
                <w:rFonts w:cs="Calibri Light"/>
                <w:sz w:val="18"/>
                <w:szCs w:val="18"/>
              </w:rPr>
              <w:t xml:space="preserve"> – </w:t>
            </w:r>
            <w:r w:rsidR="008532C0" w:rsidRPr="00577D2C">
              <w:rPr>
                <w:rFonts w:cs="Calibri Light"/>
                <w:sz w:val="18"/>
                <w:szCs w:val="18"/>
              </w:rPr>
              <w:t>Residential Pipe Wrap</w:t>
            </w:r>
          </w:p>
        </w:tc>
        <w:tc>
          <w:tcPr>
            <w:tcW w:w="450" w:type="dxa"/>
          </w:tcPr>
          <w:p w14:paraId="636160CC" w14:textId="78EF4447" w:rsidR="00485834" w:rsidRPr="00577D2C" w:rsidRDefault="005247E0" w:rsidP="00177EB6">
            <w:pPr>
              <w:keepNext/>
              <w:keepLines/>
              <w:spacing w:before="20" w:after="20"/>
              <w:jc w:val="center"/>
              <w:rPr>
                <w:sz w:val="18"/>
                <w:szCs w:val="18"/>
              </w:rPr>
            </w:pPr>
            <w:r w:rsidRPr="00577D2C">
              <w:rPr>
                <w:sz w:val="18"/>
                <w:szCs w:val="18"/>
              </w:rPr>
              <w:t>11.0</w:t>
            </w:r>
          </w:p>
        </w:tc>
        <w:tc>
          <w:tcPr>
            <w:tcW w:w="6750" w:type="dxa"/>
          </w:tcPr>
          <w:p w14:paraId="12293357" w14:textId="086E1B0C" w:rsidR="00485834" w:rsidRPr="00577D2C" w:rsidRDefault="00577D2C" w:rsidP="00565D08">
            <w:pPr>
              <w:pStyle w:val="CommentText"/>
              <w:rPr>
                <w:sz w:val="18"/>
                <w:szCs w:val="18"/>
                <w:highlight w:val="lightGray"/>
              </w:rPr>
            </w:pPr>
            <w:r w:rsidRPr="00577D2C">
              <w:rPr>
                <w:sz w:val="18"/>
                <w:szCs w:val="18"/>
              </w:rPr>
              <w:t>California Public Utilities Commission (CPUC). 2014. “DEER2014-EUL-table-update_2014-02-05.xlsx.”</w:t>
            </w:r>
          </w:p>
        </w:tc>
      </w:tr>
      <w:tr w:rsidR="00462F22" w:rsidRPr="00500C4E" w14:paraId="71871DE1" w14:textId="51A3395E" w:rsidTr="005247E0">
        <w:trPr>
          <w:cantSplit/>
          <w:trHeight w:val="20"/>
        </w:trPr>
        <w:tc>
          <w:tcPr>
            <w:tcW w:w="2335" w:type="dxa"/>
          </w:tcPr>
          <w:p w14:paraId="4BA48D82" w14:textId="61A223D4" w:rsidR="00462F22" w:rsidRPr="00577D2C" w:rsidRDefault="008532C0" w:rsidP="00462F22">
            <w:pPr>
              <w:keepNext/>
              <w:keepLines/>
              <w:spacing w:before="20" w:after="20"/>
              <w:rPr>
                <w:rFonts w:cs="Calibri Light"/>
                <w:sz w:val="18"/>
                <w:szCs w:val="18"/>
              </w:rPr>
            </w:pPr>
            <w:r w:rsidRPr="00577D2C">
              <w:rPr>
                <w:rFonts w:cs="Calibri Light"/>
                <w:sz w:val="18"/>
                <w:szCs w:val="18"/>
              </w:rPr>
              <w:t>E</w:t>
            </w:r>
            <w:r w:rsidR="00462F22" w:rsidRPr="00577D2C">
              <w:rPr>
                <w:rFonts w:cs="Calibri Light"/>
                <w:sz w:val="18"/>
                <w:szCs w:val="18"/>
              </w:rPr>
              <w:t>UL (</w:t>
            </w:r>
            <w:proofErr w:type="spellStart"/>
            <w:r w:rsidR="00462F22" w:rsidRPr="00577D2C">
              <w:rPr>
                <w:rFonts w:cs="Calibri Light"/>
                <w:sz w:val="18"/>
                <w:szCs w:val="18"/>
              </w:rPr>
              <w:t>yrs</w:t>
            </w:r>
            <w:proofErr w:type="spellEnd"/>
            <w:r w:rsidR="00462F22" w:rsidRPr="00577D2C">
              <w:rPr>
                <w:rFonts w:cs="Calibri Light"/>
                <w:sz w:val="18"/>
                <w:szCs w:val="18"/>
              </w:rPr>
              <w:t>)</w:t>
            </w:r>
            <w:r w:rsidR="00017097" w:rsidRPr="00577D2C">
              <w:rPr>
                <w:rFonts w:cs="Calibri Light"/>
                <w:sz w:val="18"/>
                <w:szCs w:val="18"/>
              </w:rPr>
              <w:t xml:space="preserve"> – </w:t>
            </w:r>
            <w:r w:rsidRPr="00577D2C">
              <w:rPr>
                <w:rFonts w:cs="Calibri Light"/>
                <w:sz w:val="18"/>
                <w:szCs w:val="18"/>
              </w:rPr>
              <w:t xml:space="preserve">Host </w:t>
            </w:r>
            <w:r w:rsidR="00740489">
              <w:rPr>
                <w:rFonts w:cs="Calibri Light"/>
                <w:sz w:val="18"/>
                <w:szCs w:val="18"/>
              </w:rPr>
              <w:t>Pipe</w:t>
            </w:r>
          </w:p>
        </w:tc>
        <w:tc>
          <w:tcPr>
            <w:tcW w:w="450" w:type="dxa"/>
          </w:tcPr>
          <w:p w14:paraId="012CC38D" w14:textId="551C8A63" w:rsidR="00462F22" w:rsidRPr="00577D2C" w:rsidRDefault="00740489" w:rsidP="00462F22">
            <w:pPr>
              <w:keepNext/>
              <w:keepLines/>
              <w:spacing w:before="20" w:after="20"/>
              <w:jc w:val="center"/>
              <w:rPr>
                <w:sz w:val="18"/>
                <w:szCs w:val="18"/>
              </w:rPr>
            </w:pPr>
            <w:r>
              <w:rPr>
                <w:sz w:val="18"/>
                <w:szCs w:val="18"/>
              </w:rPr>
              <w:t>20</w:t>
            </w:r>
            <w:r w:rsidR="00631F87">
              <w:rPr>
                <w:sz w:val="18"/>
                <w:szCs w:val="18"/>
              </w:rPr>
              <w:t>.0</w:t>
            </w:r>
          </w:p>
        </w:tc>
        <w:tc>
          <w:tcPr>
            <w:tcW w:w="6750" w:type="dxa"/>
          </w:tcPr>
          <w:p w14:paraId="7DDC9DCA" w14:textId="756B0238" w:rsidR="00462F22" w:rsidRPr="00577D2C" w:rsidRDefault="00577D2C" w:rsidP="00462F22">
            <w:pPr>
              <w:keepNext/>
              <w:keepLines/>
              <w:spacing w:before="20" w:after="20"/>
              <w:rPr>
                <w:sz w:val="18"/>
                <w:szCs w:val="18"/>
              </w:rPr>
            </w:pPr>
            <w:r w:rsidRPr="00577D2C">
              <w:rPr>
                <w:sz w:val="18"/>
                <w:szCs w:val="18"/>
              </w:rPr>
              <w:t>California Public Utilities Commission (CPUC). 2014. “DEER2014-EUL-table-update_2014-02-05.xlsx.”</w:t>
            </w:r>
          </w:p>
        </w:tc>
      </w:tr>
      <w:tr w:rsidR="002C03A3" w:rsidRPr="00500C4E" w14:paraId="21128B83" w14:textId="77777777" w:rsidTr="005247E0">
        <w:trPr>
          <w:cantSplit/>
          <w:trHeight w:val="20"/>
        </w:trPr>
        <w:tc>
          <w:tcPr>
            <w:tcW w:w="2335" w:type="dxa"/>
          </w:tcPr>
          <w:p w14:paraId="73965CB8" w14:textId="79CC7054" w:rsidR="002C03A3" w:rsidRPr="00577D2C" w:rsidRDefault="00740489" w:rsidP="00462F22">
            <w:pPr>
              <w:keepNext/>
              <w:keepLines/>
              <w:spacing w:before="20" w:after="20"/>
              <w:rPr>
                <w:rFonts w:cs="Calibri Light"/>
                <w:sz w:val="18"/>
                <w:szCs w:val="18"/>
              </w:rPr>
            </w:pPr>
            <w:r>
              <w:rPr>
                <w:rFonts w:cs="Calibri Light"/>
                <w:sz w:val="18"/>
                <w:szCs w:val="18"/>
              </w:rPr>
              <w:t>R</w:t>
            </w:r>
            <w:r w:rsidR="008532C0" w:rsidRPr="00577D2C">
              <w:rPr>
                <w:rFonts w:cs="Calibri Light"/>
                <w:sz w:val="18"/>
                <w:szCs w:val="18"/>
              </w:rPr>
              <w:t>UL (</w:t>
            </w:r>
            <w:proofErr w:type="spellStart"/>
            <w:r w:rsidR="008532C0" w:rsidRPr="00577D2C">
              <w:rPr>
                <w:rFonts w:cs="Calibri Light"/>
                <w:sz w:val="18"/>
                <w:szCs w:val="18"/>
              </w:rPr>
              <w:t>yrs</w:t>
            </w:r>
            <w:proofErr w:type="spellEnd"/>
            <w:r w:rsidR="008532C0" w:rsidRPr="00577D2C">
              <w:rPr>
                <w:rFonts w:cs="Calibri Light"/>
                <w:sz w:val="18"/>
                <w:szCs w:val="18"/>
              </w:rPr>
              <w:t xml:space="preserve">) – Host </w:t>
            </w:r>
            <w:r>
              <w:rPr>
                <w:rFonts w:cs="Calibri Light"/>
                <w:sz w:val="18"/>
                <w:szCs w:val="18"/>
              </w:rPr>
              <w:t>Pipe</w:t>
            </w:r>
          </w:p>
        </w:tc>
        <w:tc>
          <w:tcPr>
            <w:tcW w:w="450" w:type="dxa"/>
          </w:tcPr>
          <w:p w14:paraId="6A6FFAB3" w14:textId="5C9EB89C" w:rsidR="002C03A3" w:rsidRPr="00577D2C" w:rsidRDefault="00740489" w:rsidP="00462F22">
            <w:pPr>
              <w:keepNext/>
              <w:keepLines/>
              <w:spacing w:before="20" w:after="20"/>
              <w:jc w:val="center"/>
              <w:rPr>
                <w:sz w:val="18"/>
                <w:szCs w:val="18"/>
              </w:rPr>
            </w:pPr>
            <w:r>
              <w:rPr>
                <w:sz w:val="18"/>
                <w:szCs w:val="18"/>
              </w:rPr>
              <w:t>6</w:t>
            </w:r>
            <w:r w:rsidR="00631F87">
              <w:rPr>
                <w:sz w:val="18"/>
                <w:szCs w:val="18"/>
              </w:rPr>
              <w:t>.7</w:t>
            </w:r>
          </w:p>
        </w:tc>
        <w:tc>
          <w:tcPr>
            <w:tcW w:w="6750" w:type="dxa"/>
          </w:tcPr>
          <w:p w14:paraId="64F1889B" w14:textId="2E8F5508" w:rsidR="002C03A3" w:rsidRPr="00577D2C" w:rsidRDefault="00577D2C" w:rsidP="00462F22">
            <w:pPr>
              <w:keepNext/>
              <w:keepLines/>
              <w:spacing w:before="20" w:after="20"/>
              <w:rPr>
                <w:rFonts w:ascii="Calibri-Light" w:hAnsi="Calibri-Light" w:cs="Calibri-Light"/>
                <w:sz w:val="18"/>
                <w:szCs w:val="18"/>
              </w:rPr>
            </w:pPr>
            <w:r w:rsidRPr="00577D2C">
              <w:rPr>
                <w:sz w:val="18"/>
                <w:szCs w:val="18"/>
              </w:rPr>
              <w:t>California Public Utilities Commission (CPUC). 2014. “DEER2014-EUL-table-update_2014-02-05.xlsx.”</w:t>
            </w:r>
          </w:p>
        </w:tc>
      </w:tr>
    </w:tbl>
    <w:p w14:paraId="21BBC22B" w14:textId="77777777" w:rsidR="007D230B" w:rsidRPr="004B06E3" w:rsidRDefault="007D230B" w:rsidP="004142EF"/>
    <w:p w14:paraId="3B14B593" w14:textId="77777777" w:rsidR="007D230B" w:rsidRPr="000B75AC" w:rsidRDefault="007D230B" w:rsidP="00462BB6">
      <w:pPr>
        <w:pStyle w:val="eTRMHeading3"/>
        <w:rPr>
          <w:rFonts w:cs="Calibri Light"/>
        </w:rPr>
      </w:pPr>
      <w:bookmarkStart w:id="48" w:name="_Toc486490860"/>
      <w:bookmarkStart w:id="49" w:name="_Toc486580931"/>
      <w:bookmarkStart w:id="50" w:name="_Toc5966617"/>
      <w:r w:rsidRPr="000B75AC">
        <w:rPr>
          <w:rFonts w:cs="Calibri Light"/>
        </w:rPr>
        <w:t>Base Case Material Cost ($/unit)</w:t>
      </w:r>
      <w:bookmarkEnd w:id="48"/>
      <w:bookmarkEnd w:id="49"/>
      <w:bookmarkEnd w:id="50"/>
    </w:p>
    <w:p w14:paraId="2486ACF5" w14:textId="073CBCC6" w:rsidR="007D230B" w:rsidRPr="000B75AC" w:rsidRDefault="00A10D63" w:rsidP="004142EF">
      <w:pPr>
        <w:rPr>
          <w:rFonts w:cs="Calibri Light"/>
        </w:rPr>
      </w:pPr>
      <w:r>
        <w:rPr>
          <w:rFonts w:cs="Calibri Light"/>
          <w:szCs w:val="22"/>
        </w:rPr>
        <w:t>T</w:t>
      </w:r>
      <w:r w:rsidR="00017097" w:rsidRPr="000B75AC">
        <w:rPr>
          <w:rFonts w:cs="Calibri Light"/>
          <w:szCs w:val="22"/>
        </w:rPr>
        <w:t>he base case</w:t>
      </w:r>
      <w:r>
        <w:rPr>
          <w:rFonts w:cs="Calibri Light"/>
          <w:szCs w:val="22"/>
        </w:rPr>
        <w:t xml:space="preserve"> material</w:t>
      </w:r>
      <w:r w:rsidR="00017097" w:rsidRPr="000B75AC">
        <w:rPr>
          <w:rFonts w:cs="Calibri Light"/>
          <w:szCs w:val="22"/>
        </w:rPr>
        <w:t xml:space="preserve"> cost</w:t>
      </w:r>
      <w:r>
        <w:rPr>
          <w:rFonts w:cs="Calibri Light"/>
          <w:szCs w:val="22"/>
        </w:rPr>
        <w:t xml:space="preserve"> for the measure</w:t>
      </w:r>
      <w:r w:rsidR="00017097" w:rsidRPr="000B75AC">
        <w:rPr>
          <w:rFonts w:cs="Calibri Light"/>
          <w:szCs w:val="22"/>
        </w:rPr>
        <w:t xml:space="preserve"> is $0.</w:t>
      </w:r>
    </w:p>
    <w:p w14:paraId="44E8DBEB" w14:textId="77777777" w:rsidR="007D230B" w:rsidRPr="000B75AC" w:rsidRDefault="007D230B" w:rsidP="00462BB6">
      <w:pPr>
        <w:pStyle w:val="eTRMHeading3"/>
        <w:rPr>
          <w:rFonts w:cs="Calibri Light"/>
        </w:rPr>
      </w:pPr>
      <w:bookmarkStart w:id="51" w:name="_Toc486490861"/>
      <w:bookmarkStart w:id="52" w:name="_Toc486580932"/>
      <w:bookmarkStart w:id="53" w:name="_Toc5966618"/>
      <w:r w:rsidRPr="000B75AC">
        <w:rPr>
          <w:rFonts w:cs="Calibri Light"/>
        </w:rPr>
        <w:t>Measure Case Material Cost ($/unit)</w:t>
      </w:r>
      <w:bookmarkEnd w:id="51"/>
      <w:bookmarkEnd w:id="52"/>
      <w:bookmarkEnd w:id="53"/>
    </w:p>
    <w:p w14:paraId="05EB3C8C" w14:textId="7175B08A" w:rsidR="00425FAA" w:rsidRPr="000B75AC" w:rsidRDefault="00A10D63" w:rsidP="005F745C">
      <w:pPr>
        <w:autoSpaceDE w:val="0"/>
        <w:autoSpaceDN w:val="0"/>
        <w:adjustRightInd w:val="0"/>
        <w:spacing w:before="0" w:after="0" w:line="240" w:lineRule="auto"/>
        <w:rPr>
          <w:rFonts w:cs="Calibri Light"/>
          <w:szCs w:val="22"/>
        </w:rPr>
      </w:pPr>
      <w:r>
        <w:rPr>
          <w:rFonts w:cs="Calibri Light"/>
          <w:szCs w:val="22"/>
        </w:rPr>
        <w:t>The m</w:t>
      </w:r>
      <w:r w:rsidR="005F745C" w:rsidRPr="000B75AC">
        <w:rPr>
          <w:rFonts w:cs="Calibri Light"/>
          <w:szCs w:val="22"/>
        </w:rPr>
        <w:t>easure</w:t>
      </w:r>
      <w:r>
        <w:rPr>
          <w:rFonts w:cs="Calibri Light"/>
          <w:szCs w:val="22"/>
        </w:rPr>
        <w:t xml:space="preserve"> case material</w:t>
      </w:r>
      <w:r w:rsidR="005F745C" w:rsidRPr="000B75AC">
        <w:rPr>
          <w:rFonts w:cs="Calibri Light"/>
          <w:szCs w:val="22"/>
        </w:rPr>
        <w:t xml:space="preserve"> cost information will stem from the </w:t>
      </w:r>
      <w:proofErr w:type="spellStart"/>
      <w:r w:rsidR="005F745C" w:rsidRPr="000B75AC">
        <w:rPr>
          <w:rFonts w:cs="Calibri Light"/>
          <w:szCs w:val="22"/>
        </w:rPr>
        <w:t>RSMeans</w:t>
      </w:r>
      <w:proofErr w:type="spellEnd"/>
      <w:r w:rsidR="005F745C" w:rsidRPr="000B75AC">
        <w:rPr>
          <w:rFonts w:cs="Calibri Light"/>
          <w:szCs w:val="22"/>
        </w:rPr>
        <w:t xml:space="preserve"> Green Building Cost Data 2014 using a </w:t>
      </w:r>
      <w:proofErr w:type="gramStart"/>
      <w:r w:rsidR="00270C89" w:rsidRPr="000B75AC">
        <w:rPr>
          <w:rFonts w:cs="Calibri Light"/>
          <w:szCs w:val="22"/>
        </w:rPr>
        <w:t xml:space="preserve">1 </w:t>
      </w:r>
      <w:r w:rsidR="00264ADD">
        <w:rPr>
          <w:rFonts w:cs="Calibri Light"/>
          <w:szCs w:val="22"/>
        </w:rPr>
        <w:t>inch</w:t>
      </w:r>
      <w:proofErr w:type="gramEnd"/>
      <w:r w:rsidR="00264ADD">
        <w:rPr>
          <w:rFonts w:cs="Calibri Light"/>
          <w:szCs w:val="22"/>
        </w:rPr>
        <w:t xml:space="preserve"> </w:t>
      </w:r>
      <w:r w:rsidR="005F745C" w:rsidRPr="000B75AC">
        <w:rPr>
          <w:rFonts w:cs="Calibri Light"/>
          <w:szCs w:val="22"/>
        </w:rPr>
        <w:t>closed cell</w:t>
      </w:r>
      <w:r w:rsidR="00270C89" w:rsidRPr="000B75AC">
        <w:rPr>
          <w:rFonts w:cs="Calibri Light"/>
          <w:szCs w:val="22"/>
        </w:rPr>
        <w:t xml:space="preserve"> </w:t>
      </w:r>
      <w:r w:rsidR="005F745C" w:rsidRPr="000B75AC">
        <w:rPr>
          <w:rFonts w:cs="Calibri Light"/>
          <w:szCs w:val="22"/>
        </w:rPr>
        <w:t>polyethylene foam insulation installed on a ¾</w:t>
      </w:r>
      <w:r w:rsidR="00264ADD">
        <w:rPr>
          <w:rFonts w:cs="Calibri Light"/>
          <w:szCs w:val="22"/>
        </w:rPr>
        <w:t xml:space="preserve"> inch</w:t>
      </w:r>
      <w:r w:rsidR="005F745C" w:rsidRPr="000B75AC">
        <w:rPr>
          <w:rFonts w:cs="Calibri Light"/>
          <w:szCs w:val="22"/>
        </w:rPr>
        <w:t xml:space="preserve"> pipe. The material cost per linear foot is $0.49</w:t>
      </w:r>
      <w:r w:rsidR="00270C89" w:rsidRPr="000B75AC">
        <w:rPr>
          <w:rFonts w:cs="Calibri Light"/>
          <w:szCs w:val="22"/>
        </w:rPr>
        <w:t>.</w:t>
      </w:r>
    </w:p>
    <w:p w14:paraId="02691007" w14:textId="3C007D4F" w:rsidR="007D230B" w:rsidRPr="000B75AC" w:rsidRDefault="002E5874" w:rsidP="00462BB6">
      <w:pPr>
        <w:pStyle w:val="eTRMHeading3"/>
        <w:rPr>
          <w:rFonts w:cs="Calibri Light"/>
        </w:rPr>
      </w:pPr>
      <w:bookmarkStart w:id="54" w:name="_Toc486490862"/>
      <w:bookmarkStart w:id="55" w:name="_Toc486580933"/>
      <w:bookmarkStart w:id="56" w:name="_Toc5966619"/>
      <w:r w:rsidRPr="000B75AC">
        <w:rPr>
          <w:rFonts w:cs="Calibri Light"/>
        </w:rPr>
        <w:t xml:space="preserve">Base Case </w:t>
      </w:r>
      <w:r w:rsidR="007D230B" w:rsidRPr="000B75AC">
        <w:rPr>
          <w:rFonts w:cs="Calibri Light"/>
        </w:rPr>
        <w:t>Labor Cost ($/unit)</w:t>
      </w:r>
      <w:bookmarkEnd w:id="54"/>
      <w:bookmarkEnd w:id="55"/>
      <w:bookmarkEnd w:id="56"/>
    </w:p>
    <w:p w14:paraId="0CB762B3" w14:textId="747ECA4A" w:rsidR="002E5874" w:rsidRPr="000B75AC" w:rsidRDefault="00A10D63" w:rsidP="002E5874">
      <w:pPr>
        <w:rPr>
          <w:rFonts w:cs="Calibri Light"/>
        </w:rPr>
      </w:pPr>
      <w:r>
        <w:rPr>
          <w:rFonts w:cs="Calibri Light"/>
          <w:szCs w:val="22"/>
        </w:rPr>
        <w:t>T</w:t>
      </w:r>
      <w:r w:rsidR="00FF4763" w:rsidRPr="000B75AC">
        <w:rPr>
          <w:rFonts w:cs="Calibri Light"/>
          <w:szCs w:val="22"/>
        </w:rPr>
        <w:t>he base case labor cost is</w:t>
      </w:r>
      <w:r w:rsidR="00264ADD">
        <w:rPr>
          <w:rFonts w:cs="Calibri Light"/>
          <w:szCs w:val="22"/>
        </w:rPr>
        <w:t xml:space="preserve"> </w:t>
      </w:r>
      <w:r w:rsidR="00FF4763" w:rsidRPr="000B75AC">
        <w:rPr>
          <w:rFonts w:cs="Calibri Light"/>
          <w:szCs w:val="22"/>
        </w:rPr>
        <w:t>$0.</w:t>
      </w:r>
    </w:p>
    <w:p w14:paraId="5FCE367F" w14:textId="7B47C616" w:rsidR="007D230B" w:rsidRPr="001F2842" w:rsidRDefault="002E5874" w:rsidP="001F2842">
      <w:pPr>
        <w:pStyle w:val="eTRMHeading3"/>
        <w:rPr>
          <w:rFonts w:cs="Calibri Light"/>
        </w:rPr>
      </w:pPr>
      <w:bookmarkStart w:id="57" w:name="_Toc5966620"/>
      <w:r w:rsidRPr="000B75AC">
        <w:rPr>
          <w:rFonts w:cs="Calibri Light"/>
        </w:rPr>
        <w:t>Measure Case Labor Cost ($/unit)</w:t>
      </w:r>
      <w:bookmarkEnd w:id="57"/>
    </w:p>
    <w:p w14:paraId="6059FE3D" w14:textId="22EB6864" w:rsidR="009E4AB6" w:rsidRPr="009E4AB6" w:rsidRDefault="009E4AB6" w:rsidP="009E4AB6">
      <w:pPr>
        <w:autoSpaceDE w:val="0"/>
        <w:autoSpaceDN w:val="0"/>
        <w:adjustRightInd w:val="0"/>
        <w:spacing w:before="0" w:after="0" w:line="240" w:lineRule="auto"/>
        <w:rPr>
          <w:rFonts w:cs="Calibri Light"/>
          <w:szCs w:val="22"/>
        </w:rPr>
      </w:pPr>
      <w:bookmarkStart w:id="58" w:name="_Toc486490863"/>
      <w:bookmarkStart w:id="59" w:name="_Toc486580934"/>
      <w:bookmarkStart w:id="60" w:name="_Toc5966621"/>
      <w:r w:rsidRPr="009E4AB6">
        <w:rPr>
          <w:rFonts w:cs="Calibri Light"/>
          <w:szCs w:val="22"/>
        </w:rPr>
        <w:t xml:space="preserve">Measure labor cost information will stem from the </w:t>
      </w:r>
      <w:proofErr w:type="spellStart"/>
      <w:r w:rsidRPr="009E4AB6">
        <w:rPr>
          <w:rFonts w:cs="Calibri Light"/>
          <w:szCs w:val="22"/>
        </w:rPr>
        <w:t>RSMeans</w:t>
      </w:r>
      <w:proofErr w:type="spellEnd"/>
      <w:r w:rsidRPr="009E4AB6">
        <w:rPr>
          <w:rFonts w:cs="Calibri Light"/>
          <w:szCs w:val="22"/>
        </w:rPr>
        <w:t xml:space="preserve"> Green Building Cost Data 2014</w:t>
      </w:r>
      <w:r w:rsidR="00EC4A49">
        <w:rPr>
          <w:rFonts w:cs="Calibri Light"/>
          <w:szCs w:val="22"/>
        </w:rPr>
        <w:t xml:space="preserve">.  </w:t>
      </w:r>
      <w:r w:rsidRPr="009E4AB6">
        <w:rPr>
          <w:rFonts w:cs="Calibri Light"/>
          <w:szCs w:val="22"/>
        </w:rPr>
        <w:t>The labor cost per linear foot is $3.53.</w:t>
      </w:r>
    </w:p>
    <w:p w14:paraId="050D9183" w14:textId="3C108704" w:rsidR="007D230B" w:rsidRPr="000B75AC" w:rsidRDefault="004B06E3" w:rsidP="009E4AB6">
      <w:pPr>
        <w:pStyle w:val="eTRMHeading3"/>
        <w:rPr>
          <w:rFonts w:cs="Calibri Light"/>
        </w:rPr>
      </w:pPr>
      <w:r w:rsidRPr="000B75AC">
        <w:rPr>
          <w:rFonts w:cs="Calibri Light"/>
        </w:rPr>
        <w:t>Net-to-Gross</w:t>
      </w:r>
      <w:bookmarkEnd w:id="58"/>
      <w:bookmarkEnd w:id="59"/>
      <w:r w:rsidR="008D4652" w:rsidRPr="000B75AC">
        <w:rPr>
          <w:rFonts w:cs="Calibri Light"/>
        </w:rPr>
        <w:t xml:space="preserve"> (NTG)</w:t>
      </w:r>
      <w:bookmarkEnd w:id="60"/>
    </w:p>
    <w:p w14:paraId="74940D3A" w14:textId="76D2011E" w:rsidR="007D230B" w:rsidRPr="004B06E3" w:rsidRDefault="00AA3E2A" w:rsidP="004142EF">
      <w:r w:rsidRPr="000B75AC">
        <w:rPr>
          <w:rFonts w:cs="Calibri Light"/>
        </w:rPr>
        <w:t>The net-to-gross (NTG) ratio represents</w:t>
      </w:r>
      <w:r w:rsidRPr="00860FEC">
        <w:t xml:space="preserve"> the portion of gross impacts that are determined to be directly attributed to a specific program intervention. </w:t>
      </w:r>
      <w:r w:rsidR="00BA07B9" w:rsidRPr="00AF3038">
        <w:t xml:space="preserve">The NTG value </w:t>
      </w:r>
      <w:r w:rsidR="00943B84">
        <w:t>is</w:t>
      </w:r>
      <w:r w:rsidR="00BA07B9" w:rsidRPr="00AF3038">
        <w:t xml:space="preserve"> based upon the average of all NTG ratios for all evaluated 2006 – 2008 </w:t>
      </w:r>
      <w:r w:rsidR="006C4A06">
        <w:t>residential</w:t>
      </w:r>
      <w:r w:rsidR="00BA07B9" w:rsidRPr="00AF3038">
        <w:t xml:space="preserve"> programs, as documented in the 2011 DEER Update Study conducted by </w:t>
      </w:r>
      <w:proofErr w:type="spellStart"/>
      <w:r w:rsidR="00BA07B9" w:rsidRPr="00AF3038">
        <w:t>Itron</w:t>
      </w:r>
      <w:proofErr w:type="spellEnd"/>
      <w:r w:rsidR="00BA07B9" w:rsidRPr="00AF3038">
        <w:t xml:space="preserve">, Inc. These sector average NTGs (“default NTGs”) are applicable </w:t>
      </w:r>
      <w:r w:rsidR="00BA07B9">
        <w:t xml:space="preserve">to </w:t>
      </w:r>
      <w:r w:rsidR="00BA07B9" w:rsidRPr="00AF3038">
        <w:t xml:space="preserve">all energy efficiency measures that have been offered </w:t>
      </w:r>
      <w:r w:rsidR="00BA07B9">
        <w:t>through</w:t>
      </w:r>
      <w:r w:rsidR="006C4A06">
        <w:t xml:space="preserve"> residential</w:t>
      </w:r>
      <w:r w:rsidR="00BA07B9" w:rsidRPr="00AF3038">
        <w:t xml:space="preserve"> </w:t>
      </w:r>
      <w:r w:rsidR="00BA07B9">
        <w:t xml:space="preserve">sector </w:t>
      </w:r>
      <w:r w:rsidR="00BA07B9" w:rsidRPr="00AF3038">
        <w:t>programs for more than two years and for which impact evaluation results are not available.</w:t>
      </w:r>
      <w:r w:rsidR="00BA07B9" w:rsidRPr="00765218">
        <w:t> </w:t>
      </w:r>
    </w:p>
    <w:p w14:paraId="0D1CEED6" w14:textId="4662E3F7" w:rsidR="00DE1A0F" w:rsidRPr="0059426D" w:rsidRDefault="00DE1A0F" w:rsidP="00EA057C">
      <w:pPr>
        <w:pStyle w:val="Caption"/>
      </w:pPr>
      <w:r>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795"/>
        <w:gridCol w:w="1530"/>
        <w:gridCol w:w="6300"/>
      </w:tblGrid>
      <w:tr w:rsidR="00AA3E2A" w:rsidRPr="0059426D" w14:paraId="0D2B92AF" w14:textId="662FBAEE" w:rsidTr="00AA2841">
        <w:trPr>
          <w:cantSplit/>
          <w:trHeight w:val="20"/>
        </w:trPr>
        <w:tc>
          <w:tcPr>
            <w:tcW w:w="1795" w:type="dxa"/>
            <w:shd w:val="clear" w:color="000000" w:fill="F2F2F2" w:themeFill="background1" w:themeFillShade="F2"/>
            <w:vAlign w:val="bottom"/>
          </w:tcPr>
          <w:p w14:paraId="2A033AD8" w14:textId="3B553F77"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547E5263" w14:textId="4D6989E1" w:rsidR="00AA3E2A" w:rsidRPr="0059426D" w:rsidRDefault="00177EB6" w:rsidP="006D6644">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6300" w:type="dxa"/>
            <w:shd w:val="clear" w:color="000000" w:fill="F2F2F2" w:themeFill="background1" w:themeFillShade="F2"/>
          </w:tcPr>
          <w:p w14:paraId="50233CF6" w14:textId="0C7F65AC" w:rsidR="00AA3E2A" w:rsidRDefault="00AA3E2A" w:rsidP="006D6644">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779BA" w:rsidRPr="0059426D" w14:paraId="1CEFEEEA" w14:textId="77777777" w:rsidTr="008B2B0D">
        <w:trPr>
          <w:cantSplit/>
          <w:trHeight w:val="20"/>
        </w:trPr>
        <w:tc>
          <w:tcPr>
            <w:tcW w:w="1795" w:type="dxa"/>
            <w:vAlign w:val="center"/>
          </w:tcPr>
          <w:p w14:paraId="7FCEC5A3" w14:textId="6F1D3B05" w:rsidR="00F779BA" w:rsidRPr="005A4C65" w:rsidRDefault="00F779BA" w:rsidP="00F779BA">
            <w:pPr>
              <w:keepNext/>
              <w:keepLines/>
              <w:spacing w:before="0" w:after="0" w:line="200" w:lineRule="atLeast"/>
              <w:rPr>
                <w:rFonts w:cs="Calibri Light"/>
                <w:color w:val="000000"/>
                <w:sz w:val="18"/>
                <w:szCs w:val="18"/>
              </w:rPr>
            </w:pPr>
            <w:r w:rsidRPr="005A4C65">
              <w:rPr>
                <w:rFonts w:cs="Calibri Light"/>
                <w:color w:val="000000"/>
                <w:sz w:val="18"/>
                <w:szCs w:val="18"/>
              </w:rPr>
              <w:t xml:space="preserve">NTG – </w:t>
            </w:r>
            <w:r w:rsidR="005247E0" w:rsidRPr="005A4C65">
              <w:rPr>
                <w:rFonts w:cs="Calibri Light"/>
                <w:sz w:val="18"/>
                <w:szCs w:val="18"/>
              </w:rPr>
              <w:t>All‐Default&lt;=2yrs</w:t>
            </w:r>
          </w:p>
        </w:tc>
        <w:tc>
          <w:tcPr>
            <w:tcW w:w="1530" w:type="dxa"/>
            <w:shd w:val="clear" w:color="auto" w:fill="auto"/>
            <w:noWrap/>
          </w:tcPr>
          <w:p w14:paraId="1B6461A8" w14:textId="77777777" w:rsidR="00017097" w:rsidRDefault="00017097" w:rsidP="00017097">
            <w:pPr>
              <w:keepNext/>
              <w:keepLines/>
              <w:spacing w:before="0" w:after="0" w:line="200" w:lineRule="atLeast"/>
              <w:jc w:val="center"/>
              <w:rPr>
                <w:sz w:val="20"/>
                <w:szCs w:val="20"/>
              </w:rPr>
            </w:pPr>
          </w:p>
          <w:p w14:paraId="3A81005E" w14:textId="6ED258AE" w:rsidR="00F779BA" w:rsidRPr="00B91CA3" w:rsidRDefault="00F779BA" w:rsidP="00017097">
            <w:pPr>
              <w:keepNext/>
              <w:keepLines/>
              <w:spacing w:before="0" w:after="0" w:line="200" w:lineRule="atLeast"/>
              <w:jc w:val="center"/>
              <w:rPr>
                <w:sz w:val="20"/>
                <w:szCs w:val="20"/>
              </w:rPr>
            </w:pPr>
            <w:r>
              <w:rPr>
                <w:sz w:val="20"/>
                <w:szCs w:val="20"/>
              </w:rPr>
              <w:t>0.</w:t>
            </w:r>
            <w:r w:rsidR="005247E0">
              <w:rPr>
                <w:sz w:val="20"/>
                <w:szCs w:val="20"/>
              </w:rPr>
              <w:t>7</w:t>
            </w:r>
          </w:p>
        </w:tc>
        <w:tc>
          <w:tcPr>
            <w:tcW w:w="6300" w:type="dxa"/>
            <w:vAlign w:val="center"/>
          </w:tcPr>
          <w:p w14:paraId="01F7DD42" w14:textId="54C9CD8D" w:rsidR="00F779BA" w:rsidRPr="00575E9A" w:rsidRDefault="00017097" w:rsidP="00F779BA">
            <w:pPr>
              <w:rPr>
                <w:sz w:val="18"/>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bl>
    <w:p w14:paraId="6ECC6493" w14:textId="21F1725D" w:rsidR="007D230B" w:rsidRDefault="007D230B" w:rsidP="004142EF"/>
    <w:p w14:paraId="323B5B02" w14:textId="4C4B13DC" w:rsidR="007D230B" w:rsidRPr="004B06E3" w:rsidRDefault="00D02C36" w:rsidP="00462BB6">
      <w:pPr>
        <w:pStyle w:val="eTRMHeading3"/>
      </w:pPr>
      <w:bookmarkStart w:id="61" w:name="_Toc486490864"/>
      <w:bookmarkStart w:id="62" w:name="_Toc486580935"/>
      <w:bookmarkStart w:id="63" w:name="_Toc5966622"/>
      <w:r>
        <w:t>Gross Savings Installation Adjustment (</w:t>
      </w:r>
      <w:r w:rsidR="007D230B" w:rsidRPr="004B06E3">
        <w:t>GSIA</w:t>
      </w:r>
      <w:bookmarkEnd w:id="61"/>
      <w:bookmarkEnd w:id="62"/>
      <w:r>
        <w:t>)</w:t>
      </w:r>
      <w:bookmarkEnd w:id="63"/>
    </w:p>
    <w:p w14:paraId="2A1F1C17" w14:textId="6E726969" w:rsidR="007D230B" w:rsidRPr="00485834" w:rsidRDefault="00AA3E2A" w:rsidP="004142EF">
      <w:pPr>
        <w:rPr>
          <w:rFonts w:cs="Arial"/>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p>
    <w:p w14:paraId="022915CE" w14:textId="7749664A" w:rsidR="00DE1A0F" w:rsidRPr="0059426D" w:rsidRDefault="00AA2841" w:rsidP="00F8464D">
      <w:pPr>
        <w:pStyle w:val="Caption"/>
      </w:pPr>
      <w:r>
        <w:lastRenderedPageBreak/>
        <w:t>Gross Savings</w:t>
      </w:r>
      <w:r w:rsidR="00DE1A0F">
        <w:t xml:space="preserve"> Installation </w:t>
      </w:r>
      <w:r>
        <w:t xml:space="preserve">Adjustment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6"/>
        <w:gridCol w:w="1618"/>
        <w:gridCol w:w="5671"/>
      </w:tblGrid>
      <w:tr w:rsidR="00AA3E2A" w:rsidRPr="0059426D" w14:paraId="60BDA2BB" w14:textId="744FC0FC" w:rsidTr="00AA2841">
        <w:trPr>
          <w:cantSplit/>
          <w:trHeight w:val="20"/>
        </w:trPr>
        <w:tc>
          <w:tcPr>
            <w:tcW w:w="1104" w:type="pct"/>
            <w:shd w:val="clear" w:color="000000" w:fill="F2F2F2" w:themeFill="background1" w:themeFillShade="F2"/>
            <w:vAlign w:val="bottom"/>
          </w:tcPr>
          <w:p w14:paraId="7D363CC0" w14:textId="709302B7" w:rsidR="00AA3E2A" w:rsidRPr="0059426D" w:rsidRDefault="00177EB6" w:rsidP="00F8464D">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865" w:type="pct"/>
            <w:shd w:val="clear" w:color="000000" w:fill="F2F2F2" w:themeFill="background1" w:themeFillShade="F2"/>
            <w:vAlign w:val="center"/>
          </w:tcPr>
          <w:p w14:paraId="2A1AC9D4" w14:textId="3263DC2B" w:rsidR="00AA3E2A" w:rsidRPr="0059426D" w:rsidRDefault="00AA3E2A" w:rsidP="00F8464D">
            <w:pPr>
              <w:keepNext/>
              <w:keepLines/>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030" w:type="pct"/>
            <w:shd w:val="clear" w:color="000000" w:fill="F2F2F2" w:themeFill="background1" w:themeFillShade="F2"/>
          </w:tcPr>
          <w:p w14:paraId="32AB7FEE" w14:textId="77936D4E" w:rsidR="00AA3E2A" w:rsidRPr="00D02DA8" w:rsidRDefault="00AA3E2A" w:rsidP="00F8464D">
            <w:pPr>
              <w:keepNext/>
              <w:keepLines/>
              <w:spacing w:before="0" w:after="0" w:line="200" w:lineRule="atLeast"/>
              <w:jc w:val="center"/>
              <w:rPr>
                <w:rFonts w:cs="Arial"/>
                <w:b/>
                <w:sz w:val="20"/>
                <w:szCs w:val="20"/>
              </w:rPr>
            </w:pPr>
            <w:r>
              <w:rPr>
                <w:rFonts w:cs="Arial"/>
                <w:b/>
                <w:sz w:val="20"/>
                <w:szCs w:val="20"/>
              </w:rPr>
              <w:t>Source</w:t>
            </w:r>
          </w:p>
        </w:tc>
      </w:tr>
      <w:tr w:rsidR="00AA3E2A" w:rsidRPr="0059426D" w14:paraId="2209CD52" w14:textId="78579504" w:rsidTr="00594142">
        <w:trPr>
          <w:cantSplit/>
          <w:trHeight w:val="20"/>
        </w:trPr>
        <w:tc>
          <w:tcPr>
            <w:tcW w:w="1104" w:type="pct"/>
            <w:vAlign w:val="center"/>
          </w:tcPr>
          <w:p w14:paraId="6618BC2B" w14:textId="1E9539B8" w:rsidR="00AA3E2A" w:rsidRPr="005A4C65" w:rsidRDefault="00177EB6" w:rsidP="00594142">
            <w:pPr>
              <w:keepNext/>
              <w:keepLines/>
              <w:spacing w:before="0" w:after="0" w:line="200" w:lineRule="atLeast"/>
              <w:rPr>
                <w:rFonts w:cs="Calibri Light"/>
                <w:sz w:val="18"/>
                <w:szCs w:val="18"/>
              </w:rPr>
            </w:pPr>
            <w:r w:rsidRPr="005A4C65">
              <w:rPr>
                <w:rFonts w:cs="Calibri Light"/>
                <w:sz w:val="18"/>
                <w:szCs w:val="18"/>
              </w:rPr>
              <w:t xml:space="preserve">GSIA </w:t>
            </w:r>
            <w:r w:rsidR="00497A93">
              <w:rPr>
                <w:rFonts w:cs="Calibri Light"/>
                <w:sz w:val="18"/>
                <w:szCs w:val="18"/>
              </w:rPr>
              <w:t>–</w:t>
            </w:r>
            <w:r w:rsidR="005247E0" w:rsidRPr="005A4C65">
              <w:rPr>
                <w:rFonts w:cs="Calibri Light"/>
                <w:sz w:val="18"/>
                <w:szCs w:val="18"/>
              </w:rPr>
              <w:t xml:space="preserve"> </w:t>
            </w:r>
            <w:r w:rsidR="00497A93">
              <w:rPr>
                <w:rFonts w:cs="Calibri Light"/>
                <w:sz w:val="18"/>
                <w:szCs w:val="18"/>
              </w:rPr>
              <w:t>Def-GSIA</w:t>
            </w:r>
          </w:p>
        </w:tc>
        <w:tc>
          <w:tcPr>
            <w:tcW w:w="865" w:type="pct"/>
            <w:vAlign w:val="center"/>
          </w:tcPr>
          <w:p w14:paraId="6D1D8F27" w14:textId="09D54B5E" w:rsidR="00AA3E2A" w:rsidRPr="00AA2841" w:rsidRDefault="00347A7C" w:rsidP="00F8464D">
            <w:pPr>
              <w:keepNext/>
              <w:keepLines/>
              <w:spacing w:before="0" w:after="0" w:line="200" w:lineRule="atLeast"/>
              <w:jc w:val="center"/>
              <w:rPr>
                <w:sz w:val="20"/>
                <w:szCs w:val="20"/>
              </w:rPr>
            </w:pPr>
            <w:r>
              <w:rPr>
                <w:sz w:val="20"/>
                <w:szCs w:val="20"/>
              </w:rPr>
              <w:t>1</w:t>
            </w:r>
          </w:p>
        </w:tc>
        <w:tc>
          <w:tcPr>
            <w:tcW w:w="3030" w:type="pct"/>
          </w:tcPr>
          <w:p w14:paraId="52FCA633" w14:textId="43525B48" w:rsidR="00AA3E2A" w:rsidRPr="00BB4F22" w:rsidRDefault="00485834" w:rsidP="00F8464D">
            <w:pPr>
              <w:keepNext/>
              <w:keepLines/>
              <w:spacing w:before="0" w:after="0" w:line="200" w:lineRule="atLeast"/>
              <w:rPr>
                <w:color w:val="FF0000"/>
                <w:sz w:val="20"/>
                <w:szCs w:val="20"/>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462BB6">
      <w:pPr>
        <w:pStyle w:val="eTRMHeading3"/>
      </w:pPr>
      <w:bookmarkStart w:id="64" w:name="_Toc486490865"/>
      <w:bookmarkStart w:id="65" w:name="_Toc486580936"/>
      <w:bookmarkStart w:id="66" w:name="_Toc5966623"/>
      <w:r w:rsidRPr="004B06E3">
        <w:t xml:space="preserve">Non-Energy </w:t>
      </w:r>
      <w:bookmarkEnd w:id="64"/>
      <w:bookmarkEnd w:id="65"/>
      <w:r w:rsidR="00DA6B7E">
        <w:t>Impacts</w:t>
      </w:r>
      <w:bookmarkEnd w:id="66"/>
    </w:p>
    <w:p w14:paraId="0D73FC70" w14:textId="27339D17" w:rsidR="00697A88" w:rsidRDefault="00697A88" w:rsidP="004A2CEE">
      <w:r>
        <w:t xml:space="preserve">Non-energy benefits for this measure have not been </w:t>
      </w:r>
      <w:r w:rsidR="009D7F4D">
        <w:t>quantified</w:t>
      </w:r>
      <w:r>
        <w:t>.</w:t>
      </w:r>
    </w:p>
    <w:p w14:paraId="0C37F289" w14:textId="77777777" w:rsidR="00697A88" w:rsidRDefault="00697A88" w:rsidP="004142EF"/>
    <w:p w14:paraId="7D8551BB" w14:textId="760F7D39" w:rsidR="009C31A4" w:rsidRPr="004B06E3" w:rsidRDefault="009C31A4" w:rsidP="00462BB6">
      <w:pPr>
        <w:pStyle w:val="eTRMHeading3"/>
      </w:pPr>
      <w:bookmarkStart w:id="67" w:name="_Toc5966624"/>
      <w:r>
        <w:t>DEER Differences Analysis</w:t>
      </w:r>
      <w:bookmarkEnd w:id="67"/>
    </w:p>
    <w:p w14:paraId="575E579E" w14:textId="3F2BF71B" w:rsidR="002C67DF" w:rsidRDefault="003F21D2" w:rsidP="004142EF">
      <w:r>
        <w:t>This section provides a summary of inputs and methods</w:t>
      </w:r>
      <w:r w:rsidR="008A3163">
        <w:t xml:space="preserve"> based upon the Database of Energy Efficient Resources (DEER)</w:t>
      </w:r>
      <w:r>
        <w:t>, and the rationale for inputs and methods that are not DEER-based.</w:t>
      </w:r>
    </w:p>
    <w:p w14:paraId="756C62FB" w14:textId="70A8FF6C" w:rsidR="00EA057C" w:rsidRPr="00920905" w:rsidRDefault="00EA057C" w:rsidP="005710BF">
      <w:pPr>
        <w:pStyle w:val="Caption"/>
        <w:keepNext w:val="0"/>
        <w:keepLines w:val="0"/>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5710BF">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2633ACD5" w:rsidR="00EA057C" w:rsidRPr="00EA057C" w:rsidRDefault="00EA057C" w:rsidP="005710BF">
            <w:pPr>
              <w:spacing w:before="20" w:after="20"/>
              <w:rPr>
                <w:rFonts w:cs="Arial"/>
                <w:b/>
                <w:sz w:val="20"/>
                <w:szCs w:val="20"/>
              </w:rPr>
            </w:pPr>
            <w:r>
              <w:rPr>
                <w:rFonts w:cs="Arial"/>
                <w:b/>
                <w:sz w:val="20"/>
                <w:szCs w:val="20"/>
              </w:rPr>
              <w:t xml:space="preserve">Comment </w:t>
            </w:r>
          </w:p>
        </w:tc>
      </w:tr>
      <w:tr w:rsidR="002E714C" w:rsidRPr="00500C4E" w14:paraId="33003020" w14:textId="77777777" w:rsidTr="00EA057C">
        <w:trPr>
          <w:trHeight w:val="20"/>
        </w:trPr>
        <w:tc>
          <w:tcPr>
            <w:tcW w:w="1730" w:type="pct"/>
          </w:tcPr>
          <w:p w14:paraId="1F2D360A" w14:textId="77777777" w:rsidR="002E714C" w:rsidRPr="00EA057C" w:rsidRDefault="002E714C" w:rsidP="005710BF">
            <w:pPr>
              <w:spacing w:before="20" w:after="20"/>
              <w:rPr>
                <w:rFonts w:cs="Arial"/>
                <w:sz w:val="20"/>
                <w:szCs w:val="20"/>
              </w:rPr>
            </w:pPr>
            <w:r w:rsidRPr="00EA057C">
              <w:rPr>
                <w:rFonts w:cs="Arial"/>
                <w:sz w:val="20"/>
                <w:szCs w:val="20"/>
              </w:rPr>
              <w:t>Modified DEER methodology</w:t>
            </w:r>
          </w:p>
        </w:tc>
        <w:tc>
          <w:tcPr>
            <w:tcW w:w="3270" w:type="pct"/>
          </w:tcPr>
          <w:p w14:paraId="247EE411" w14:textId="702EC091" w:rsidR="002E714C" w:rsidRPr="00594142" w:rsidRDefault="00AD3212" w:rsidP="005710BF">
            <w:pPr>
              <w:spacing w:before="20" w:after="20"/>
              <w:rPr>
                <w:rFonts w:cs="Arial"/>
                <w:sz w:val="20"/>
                <w:szCs w:val="20"/>
              </w:rPr>
            </w:pPr>
            <w:r>
              <w:rPr>
                <w:rFonts w:cs="Arial"/>
                <w:sz w:val="20"/>
                <w:szCs w:val="20"/>
              </w:rPr>
              <w:t>Yes</w:t>
            </w:r>
          </w:p>
        </w:tc>
      </w:tr>
      <w:tr w:rsidR="002E714C" w:rsidRPr="00500C4E" w14:paraId="507422EA" w14:textId="77777777" w:rsidTr="00EA057C">
        <w:trPr>
          <w:trHeight w:val="20"/>
        </w:trPr>
        <w:tc>
          <w:tcPr>
            <w:tcW w:w="1730" w:type="pct"/>
          </w:tcPr>
          <w:p w14:paraId="29430E33" w14:textId="77777777" w:rsidR="002E714C" w:rsidRPr="00EA057C" w:rsidRDefault="002E714C" w:rsidP="005710BF">
            <w:pPr>
              <w:spacing w:before="20" w:after="20"/>
              <w:rPr>
                <w:rFonts w:cs="Arial"/>
                <w:sz w:val="20"/>
                <w:szCs w:val="20"/>
              </w:rPr>
            </w:pPr>
            <w:r w:rsidRPr="00EA057C">
              <w:rPr>
                <w:rFonts w:cs="Arial"/>
                <w:sz w:val="20"/>
                <w:szCs w:val="20"/>
              </w:rPr>
              <w:t>Scaled DEER measure</w:t>
            </w:r>
          </w:p>
        </w:tc>
        <w:tc>
          <w:tcPr>
            <w:tcW w:w="3270" w:type="pct"/>
          </w:tcPr>
          <w:p w14:paraId="0C847473" w14:textId="7CC25CDB" w:rsidR="002E714C" w:rsidRPr="00594142" w:rsidRDefault="005247E0" w:rsidP="005710BF">
            <w:pPr>
              <w:spacing w:before="20" w:after="20"/>
              <w:rPr>
                <w:rFonts w:cs="Arial"/>
                <w:sz w:val="20"/>
                <w:szCs w:val="20"/>
              </w:rPr>
            </w:pPr>
            <w:r>
              <w:rPr>
                <w:rFonts w:cs="Arial"/>
                <w:sz w:val="20"/>
                <w:szCs w:val="20"/>
              </w:rPr>
              <w:t>No</w:t>
            </w:r>
          </w:p>
        </w:tc>
      </w:tr>
      <w:tr w:rsidR="002E714C" w:rsidRPr="00500C4E" w14:paraId="335CDE40" w14:textId="77777777" w:rsidTr="00EA057C">
        <w:trPr>
          <w:trHeight w:val="20"/>
        </w:trPr>
        <w:tc>
          <w:tcPr>
            <w:tcW w:w="1730" w:type="pct"/>
          </w:tcPr>
          <w:p w14:paraId="126C3B42" w14:textId="77777777" w:rsidR="002E714C" w:rsidRPr="00EA057C" w:rsidRDefault="002E714C" w:rsidP="005710BF">
            <w:pPr>
              <w:spacing w:before="20" w:after="20"/>
              <w:rPr>
                <w:rFonts w:cs="Arial"/>
                <w:sz w:val="20"/>
                <w:szCs w:val="20"/>
              </w:rPr>
            </w:pPr>
            <w:r w:rsidRPr="00EA057C">
              <w:rPr>
                <w:rFonts w:cs="Arial"/>
                <w:sz w:val="20"/>
                <w:szCs w:val="20"/>
              </w:rPr>
              <w:t>DEER Base Case</w:t>
            </w:r>
          </w:p>
        </w:tc>
        <w:tc>
          <w:tcPr>
            <w:tcW w:w="3270" w:type="pct"/>
          </w:tcPr>
          <w:p w14:paraId="5D2A1B0E" w14:textId="44AED917" w:rsidR="002E714C" w:rsidRPr="00594142" w:rsidRDefault="005247E0" w:rsidP="005710BF">
            <w:pPr>
              <w:spacing w:before="20" w:after="20"/>
              <w:rPr>
                <w:rFonts w:cs="Arial"/>
                <w:sz w:val="20"/>
                <w:szCs w:val="20"/>
              </w:rPr>
            </w:pPr>
            <w:r>
              <w:rPr>
                <w:rFonts w:cs="Arial"/>
                <w:sz w:val="20"/>
                <w:szCs w:val="20"/>
              </w:rPr>
              <w:t>No</w:t>
            </w:r>
          </w:p>
        </w:tc>
      </w:tr>
      <w:tr w:rsidR="002E714C" w:rsidRPr="00500C4E" w14:paraId="1F8399E1" w14:textId="77777777" w:rsidTr="00EA057C">
        <w:trPr>
          <w:trHeight w:val="20"/>
        </w:trPr>
        <w:tc>
          <w:tcPr>
            <w:tcW w:w="1730" w:type="pct"/>
          </w:tcPr>
          <w:p w14:paraId="0CC701E3" w14:textId="77777777" w:rsidR="002E714C" w:rsidRPr="00EA057C" w:rsidRDefault="002E714C" w:rsidP="005710BF">
            <w:pPr>
              <w:spacing w:before="20" w:after="20"/>
              <w:rPr>
                <w:rFonts w:cs="Arial"/>
                <w:sz w:val="20"/>
                <w:szCs w:val="20"/>
              </w:rPr>
            </w:pPr>
            <w:r w:rsidRPr="00EA057C">
              <w:rPr>
                <w:rFonts w:cs="Arial"/>
                <w:sz w:val="20"/>
                <w:szCs w:val="20"/>
              </w:rPr>
              <w:t>DEER Measure Case</w:t>
            </w:r>
          </w:p>
        </w:tc>
        <w:tc>
          <w:tcPr>
            <w:tcW w:w="3270" w:type="pct"/>
          </w:tcPr>
          <w:p w14:paraId="49A023A0" w14:textId="38AF1567" w:rsidR="002E714C" w:rsidRPr="00594142" w:rsidRDefault="005E59E3" w:rsidP="005710BF">
            <w:pPr>
              <w:spacing w:before="20" w:after="20"/>
              <w:rPr>
                <w:rFonts w:cs="Arial"/>
                <w:sz w:val="20"/>
                <w:szCs w:val="20"/>
              </w:rPr>
            </w:pPr>
            <w:r>
              <w:rPr>
                <w:rFonts w:cs="Arial"/>
                <w:sz w:val="20"/>
                <w:szCs w:val="20"/>
              </w:rPr>
              <w:t>No</w:t>
            </w:r>
          </w:p>
        </w:tc>
      </w:tr>
      <w:tr w:rsidR="002E714C" w:rsidRPr="00500C4E" w14:paraId="663742C6" w14:textId="77777777" w:rsidTr="00EA057C">
        <w:trPr>
          <w:trHeight w:val="20"/>
        </w:trPr>
        <w:tc>
          <w:tcPr>
            <w:tcW w:w="1730" w:type="pct"/>
          </w:tcPr>
          <w:p w14:paraId="16B2FDAB" w14:textId="77777777" w:rsidR="002E714C" w:rsidRPr="00EA057C" w:rsidRDefault="002E714C" w:rsidP="005710BF">
            <w:pPr>
              <w:spacing w:before="20" w:after="20"/>
              <w:rPr>
                <w:rFonts w:cs="Arial"/>
                <w:sz w:val="20"/>
                <w:szCs w:val="20"/>
              </w:rPr>
            </w:pPr>
            <w:r w:rsidRPr="00EA057C">
              <w:rPr>
                <w:rFonts w:cs="Arial"/>
                <w:sz w:val="20"/>
                <w:szCs w:val="20"/>
              </w:rPr>
              <w:t>DEER Building Types</w:t>
            </w:r>
          </w:p>
        </w:tc>
        <w:tc>
          <w:tcPr>
            <w:tcW w:w="3270" w:type="pct"/>
          </w:tcPr>
          <w:p w14:paraId="6BBA540C" w14:textId="43925D67" w:rsidR="002E714C" w:rsidRPr="00594142" w:rsidRDefault="005E59E3" w:rsidP="005710BF">
            <w:pPr>
              <w:spacing w:before="20" w:after="20"/>
              <w:rPr>
                <w:rFonts w:cs="Arial"/>
                <w:sz w:val="20"/>
                <w:szCs w:val="20"/>
              </w:rPr>
            </w:pPr>
            <w:r>
              <w:rPr>
                <w:rFonts w:cs="Arial"/>
                <w:sz w:val="20"/>
                <w:szCs w:val="20"/>
              </w:rPr>
              <w:t>Yes</w:t>
            </w:r>
          </w:p>
        </w:tc>
      </w:tr>
      <w:tr w:rsidR="002E714C" w:rsidRPr="00500C4E" w14:paraId="424F1325" w14:textId="77777777" w:rsidTr="00EA057C">
        <w:trPr>
          <w:trHeight w:val="20"/>
        </w:trPr>
        <w:tc>
          <w:tcPr>
            <w:tcW w:w="1730" w:type="pct"/>
          </w:tcPr>
          <w:p w14:paraId="71098DDA" w14:textId="77777777" w:rsidR="002E714C" w:rsidRPr="00EA057C" w:rsidRDefault="002E714C" w:rsidP="005710BF">
            <w:pPr>
              <w:spacing w:before="20" w:after="20"/>
              <w:rPr>
                <w:rFonts w:cs="Arial"/>
                <w:sz w:val="20"/>
                <w:szCs w:val="20"/>
              </w:rPr>
            </w:pPr>
            <w:r w:rsidRPr="00EA057C">
              <w:rPr>
                <w:rFonts w:cs="Arial"/>
                <w:sz w:val="20"/>
                <w:szCs w:val="20"/>
              </w:rPr>
              <w:t>DEER Operating Hours</w:t>
            </w:r>
          </w:p>
        </w:tc>
        <w:tc>
          <w:tcPr>
            <w:tcW w:w="3270" w:type="pct"/>
          </w:tcPr>
          <w:p w14:paraId="1693E1EE" w14:textId="04B33D5D" w:rsidR="002E714C" w:rsidRPr="00594142" w:rsidRDefault="005E59E3" w:rsidP="005710BF">
            <w:pPr>
              <w:spacing w:before="20" w:after="20"/>
              <w:rPr>
                <w:rFonts w:cs="Arial"/>
                <w:sz w:val="20"/>
                <w:szCs w:val="20"/>
              </w:rPr>
            </w:pPr>
            <w:r>
              <w:rPr>
                <w:rFonts w:cs="Arial"/>
                <w:sz w:val="20"/>
                <w:szCs w:val="20"/>
              </w:rPr>
              <w:t>Yes</w:t>
            </w:r>
          </w:p>
        </w:tc>
      </w:tr>
      <w:tr w:rsidR="002E714C" w:rsidRPr="00500C4E" w14:paraId="0B93AD47" w14:textId="77777777" w:rsidTr="00EA057C">
        <w:trPr>
          <w:trHeight w:val="20"/>
        </w:trPr>
        <w:tc>
          <w:tcPr>
            <w:tcW w:w="1730" w:type="pct"/>
          </w:tcPr>
          <w:p w14:paraId="6E9E484F" w14:textId="77777777" w:rsidR="002E714C" w:rsidRPr="00EA057C" w:rsidRDefault="002E714C" w:rsidP="005710BF">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6028ECBF" w:rsidR="002E714C" w:rsidRPr="00594142" w:rsidDel="00505CEC" w:rsidRDefault="005E59E3" w:rsidP="005710BF">
            <w:pPr>
              <w:spacing w:before="20" w:after="20"/>
              <w:rPr>
                <w:rFonts w:cs="Arial"/>
                <w:sz w:val="20"/>
                <w:szCs w:val="20"/>
              </w:rPr>
            </w:pPr>
            <w:r>
              <w:rPr>
                <w:rFonts w:cs="Arial"/>
                <w:sz w:val="20"/>
                <w:szCs w:val="20"/>
              </w:rPr>
              <w:t>No</w:t>
            </w:r>
          </w:p>
        </w:tc>
      </w:tr>
      <w:tr w:rsidR="002E714C" w:rsidRPr="00500C4E" w14:paraId="2CFDE9D3" w14:textId="77777777" w:rsidTr="00EA057C">
        <w:trPr>
          <w:trHeight w:val="180"/>
        </w:trPr>
        <w:tc>
          <w:tcPr>
            <w:tcW w:w="1730" w:type="pct"/>
          </w:tcPr>
          <w:p w14:paraId="3B6B3E22" w14:textId="77777777" w:rsidR="002E714C" w:rsidRPr="00EA057C" w:rsidRDefault="002E714C" w:rsidP="005710BF">
            <w:pPr>
              <w:spacing w:before="20" w:after="20"/>
              <w:rPr>
                <w:rFonts w:cs="Arial"/>
                <w:sz w:val="20"/>
                <w:szCs w:val="20"/>
              </w:rPr>
            </w:pPr>
            <w:r w:rsidRPr="00EA057C">
              <w:rPr>
                <w:rFonts w:cs="Arial"/>
                <w:sz w:val="20"/>
                <w:szCs w:val="20"/>
              </w:rPr>
              <w:t>DEER Version</w:t>
            </w:r>
          </w:p>
        </w:tc>
        <w:tc>
          <w:tcPr>
            <w:tcW w:w="3270" w:type="pct"/>
          </w:tcPr>
          <w:p w14:paraId="1C3B60D1" w14:textId="44060823" w:rsidR="002E714C" w:rsidRPr="00594142" w:rsidRDefault="002E714C" w:rsidP="005710BF">
            <w:pPr>
              <w:spacing w:before="20" w:after="20"/>
              <w:rPr>
                <w:rFonts w:cs="Arial"/>
                <w:sz w:val="20"/>
                <w:szCs w:val="20"/>
              </w:rPr>
            </w:pPr>
          </w:p>
        </w:tc>
      </w:tr>
      <w:tr w:rsidR="002E714C" w:rsidRPr="00500C4E" w14:paraId="3B7464D7" w14:textId="77777777" w:rsidTr="00EA057C">
        <w:trPr>
          <w:trHeight w:val="20"/>
        </w:trPr>
        <w:tc>
          <w:tcPr>
            <w:tcW w:w="1730" w:type="pct"/>
          </w:tcPr>
          <w:p w14:paraId="24000A76" w14:textId="77777777" w:rsidR="002E714C" w:rsidRPr="00EA057C" w:rsidRDefault="002E714C" w:rsidP="005710BF">
            <w:pPr>
              <w:spacing w:before="20" w:after="20"/>
              <w:rPr>
                <w:rFonts w:cs="Arial"/>
                <w:sz w:val="20"/>
                <w:szCs w:val="20"/>
              </w:rPr>
            </w:pPr>
            <w:r w:rsidRPr="00EA057C">
              <w:rPr>
                <w:rFonts w:cs="Arial"/>
                <w:sz w:val="20"/>
                <w:szCs w:val="20"/>
              </w:rPr>
              <w:t>Reason for Deviation from DEER</w:t>
            </w:r>
          </w:p>
        </w:tc>
        <w:tc>
          <w:tcPr>
            <w:tcW w:w="3270" w:type="pct"/>
          </w:tcPr>
          <w:p w14:paraId="125AAB90" w14:textId="1C8EF48F" w:rsidR="002E714C" w:rsidRPr="00594142" w:rsidRDefault="005247E0" w:rsidP="005710BF">
            <w:pPr>
              <w:spacing w:before="20" w:after="20"/>
              <w:rPr>
                <w:rFonts w:cs="Arial"/>
                <w:sz w:val="20"/>
                <w:szCs w:val="20"/>
              </w:rPr>
            </w:pPr>
            <w:r>
              <w:rPr>
                <w:rFonts w:cs="Arial"/>
                <w:sz w:val="20"/>
                <w:szCs w:val="20"/>
              </w:rPr>
              <w:t>Deer Does Not contain this type of measure</w:t>
            </w:r>
          </w:p>
        </w:tc>
      </w:tr>
      <w:tr w:rsidR="002E714C" w:rsidRPr="00500C4E" w14:paraId="4A7EE859" w14:textId="77777777" w:rsidTr="00EA057C">
        <w:trPr>
          <w:trHeight w:val="20"/>
        </w:trPr>
        <w:tc>
          <w:tcPr>
            <w:tcW w:w="1730" w:type="pct"/>
          </w:tcPr>
          <w:p w14:paraId="7B4D686A" w14:textId="77777777" w:rsidR="002E714C" w:rsidRPr="00EA057C" w:rsidRDefault="002E714C" w:rsidP="005710BF">
            <w:pPr>
              <w:spacing w:before="20" w:after="20"/>
              <w:rPr>
                <w:rFonts w:cs="Arial"/>
                <w:sz w:val="20"/>
                <w:szCs w:val="20"/>
              </w:rPr>
            </w:pPr>
            <w:r w:rsidRPr="00EA057C">
              <w:rPr>
                <w:rFonts w:cs="Arial"/>
                <w:sz w:val="20"/>
                <w:szCs w:val="20"/>
              </w:rPr>
              <w:t>DEER Measure IDs Used</w:t>
            </w:r>
          </w:p>
        </w:tc>
        <w:tc>
          <w:tcPr>
            <w:tcW w:w="3270" w:type="pct"/>
          </w:tcPr>
          <w:p w14:paraId="63ABA251" w14:textId="0929BF84" w:rsidR="002E714C" w:rsidRPr="00594142" w:rsidRDefault="005247E0" w:rsidP="005710BF">
            <w:pPr>
              <w:spacing w:before="20" w:after="20"/>
              <w:rPr>
                <w:rFonts w:cs="Arial"/>
                <w:sz w:val="20"/>
                <w:szCs w:val="20"/>
              </w:rPr>
            </w:pPr>
            <w:r>
              <w:rPr>
                <w:rFonts w:cs="Arial"/>
                <w:sz w:val="20"/>
                <w:szCs w:val="20"/>
              </w:rPr>
              <w:t>NA</w:t>
            </w:r>
          </w:p>
        </w:tc>
      </w:tr>
      <w:tr w:rsidR="00EA057C" w:rsidRPr="00500C4E" w14:paraId="5A83EC74" w14:textId="77777777" w:rsidTr="00EA057C">
        <w:trPr>
          <w:trHeight w:val="20"/>
        </w:trPr>
        <w:tc>
          <w:tcPr>
            <w:tcW w:w="1730" w:type="pct"/>
          </w:tcPr>
          <w:p w14:paraId="2C82A9E0" w14:textId="121308D7" w:rsidR="00EA057C" w:rsidRPr="00E65CFD" w:rsidRDefault="00EA057C" w:rsidP="005710BF">
            <w:pPr>
              <w:spacing w:before="20" w:after="20"/>
              <w:rPr>
                <w:rFonts w:cs="Calibri Light"/>
                <w:sz w:val="20"/>
                <w:szCs w:val="20"/>
              </w:rPr>
            </w:pPr>
            <w:r w:rsidRPr="00E65CFD">
              <w:rPr>
                <w:rFonts w:cs="Calibri Light"/>
                <w:sz w:val="20"/>
                <w:szCs w:val="20"/>
              </w:rPr>
              <w:t>NTG</w:t>
            </w:r>
          </w:p>
        </w:tc>
        <w:tc>
          <w:tcPr>
            <w:tcW w:w="3270" w:type="pct"/>
          </w:tcPr>
          <w:p w14:paraId="2BBBB10C" w14:textId="565D1D3E" w:rsidR="00EA057C" w:rsidRPr="00E65CFD" w:rsidRDefault="00EB009A" w:rsidP="005710BF">
            <w:pPr>
              <w:spacing w:before="20" w:after="20"/>
              <w:rPr>
                <w:rFonts w:cs="Calibri Light"/>
                <w:i/>
                <w:sz w:val="20"/>
                <w:szCs w:val="20"/>
              </w:rPr>
            </w:pPr>
            <w:r w:rsidRPr="00E65CFD">
              <w:rPr>
                <w:rFonts w:cs="Calibri Light"/>
                <w:sz w:val="20"/>
                <w:szCs w:val="20"/>
              </w:rPr>
              <w:t>Source:</w:t>
            </w:r>
            <w:r w:rsidR="00740489">
              <w:rPr>
                <w:rFonts w:cs="Calibri Light"/>
                <w:sz w:val="20"/>
                <w:szCs w:val="20"/>
              </w:rPr>
              <w:t xml:space="preserve"> </w:t>
            </w:r>
            <w:proofErr w:type="spellStart"/>
            <w:r w:rsidRPr="00E65CFD">
              <w:rPr>
                <w:rFonts w:cs="Calibri Light"/>
                <w:sz w:val="20"/>
                <w:szCs w:val="20"/>
              </w:rPr>
              <w:t>Itron</w:t>
            </w:r>
            <w:proofErr w:type="spellEnd"/>
            <w:r w:rsidRPr="00E65CFD">
              <w:rPr>
                <w:rFonts w:cs="Calibri Light"/>
                <w:sz w:val="20"/>
                <w:szCs w:val="20"/>
              </w:rPr>
              <w:t xml:space="preserve"> ESPI Pipe Insulation Report.</w:t>
            </w:r>
            <w:r w:rsidR="00621FDB" w:rsidRPr="00E65CFD">
              <w:rPr>
                <w:rFonts w:cs="Calibri Light"/>
                <w:sz w:val="20"/>
                <w:szCs w:val="20"/>
              </w:rPr>
              <w:t xml:space="preserve"> </w:t>
            </w:r>
            <w:r w:rsidRPr="00E65CFD">
              <w:rPr>
                <w:rFonts w:cs="Calibri Light"/>
                <w:sz w:val="20"/>
                <w:szCs w:val="20"/>
              </w:rPr>
              <w:t>NTG of 0.</w:t>
            </w:r>
            <w:r w:rsidR="00621FDB" w:rsidRPr="00E65CFD">
              <w:rPr>
                <w:rFonts w:cs="Calibri Light"/>
                <w:sz w:val="20"/>
                <w:szCs w:val="20"/>
              </w:rPr>
              <w:t xml:space="preserve">7 </w:t>
            </w:r>
            <w:r w:rsidRPr="00E65CFD">
              <w:rPr>
                <w:rFonts w:cs="Calibri Light"/>
                <w:sz w:val="20"/>
                <w:szCs w:val="20"/>
              </w:rPr>
              <w:t>is associated with</w:t>
            </w:r>
            <w:r w:rsidR="00740489">
              <w:rPr>
                <w:rFonts w:cs="Calibri Light"/>
                <w:sz w:val="20"/>
                <w:szCs w:val="20"/>
              </w:rPr>
              <w:t xml:space="preserve"> </w:t>
            </w:r>
            <w:r w:rsidRPr="00E65CFD">
              <w:rPr>
                <w:rFonts w:cs="Calibri Light"/>
                <w:sz w:val="20"/>
                <w:szCs w:val="20"/>
              </w:rPr>
              <w:t>NTG IDs:</w:t>
            </w:r>
            <w:r w:rsidR="00621FDB" w:rsidRPr="00E65CFD">
              <w:rPr>
                <w:rFonts w:cs="Calibri Light"/>
                <w:sz w:val="20"/>
                <w:szCs w:val="20"/>
              </w:rPr>
              <w:t xml:space="preserve"> All‐Default&lt;=2yrs</w:t>
            </w:r>
          </w:p>
        </w:tc>
      </w:tr>
      <w:tr w:rsidR="00EA057C" w:rsidRPr="00500C4E" w14:paraId="131D1F9D" w14:textId="77777777" w:rsidTr="00EA057C">
        <w:trPr>
          <w:trHeight w:val="20"/>
        </w:trPr>
        <w:tc>
          <w:tcPr>
            <w:tcW w:w="1730" w:type="pct"/>
          </w:tcPr>
          <w:p w14:paraId="45FFA983" w14:textId="5F527A83" w:rsidR="00EA057C" w:rsidRPr="00E65CFD" w:rsidRDefault="00EA057C" w:rsidP="005710BF">
            <w:pPr>
              <w:spacing w:before="20" w:after="20"/>
              <w:rPr>
                <w:rFonts w:cs="Calibri Light"/>
                <w:sz w:val="20"/>
                <w:szCs w:val="20"/>
              </w:rPr>
            </w:pPr>
            <w:r w:rsidRPr="00E65CFD">
              <w:rPr>
                <w:rFonts w:cs="Calibri Light"/>
                <w:sz w:val="20"/>
                <w:szCs w:val="20"/>
              </w:rPr>
              <w:t>GSIA</w:t>
            </w:r>
          </w:p>
        </w:tc>
        <w:tc>
          <w:tcPr>
            <w:tcW w:w="3270" w:type="pct"/>
          </w:tcPr>
          <w:p w14:paraId="7C16D603" w14:textId="6EE0A195" w:rsidR="00EA057C" w:rsidRPr="00E65CFD" w:rsidRDefault="00EB009A" w:rsidP="005710BF">
            <w:pPr>
              <w:spacing w:before="20" w:after="20"/>
              <w:rPr>
                <w:rFonts w:cs="Calibri Light"/>
                <w:sz w:val="20"/>
                <w:szCs w:val="20"/>
              </w:rPr>
            </w:pPr>
            <w:r w:rsidRPr="00E65CFD">
              <w:rPr>
                <w:rFonts w:cs="Calibri Light"/>
                <w:sz w:val="20"/>
                <w:szCs w:val="20"/>
              </w:rPr>
              <w:t>Source:</w:t>
            </w:r>
            <w:r w:rsidR="00740489">
              <w:rPr>
                <w:rFonts w:cs="Calibri Light"/>
                <w:sz w:val="20"/>
                <w:szCs w:val="20"/>
              </w:rPr>
              <w:t xml:space="preserve"> </w:t>
            </w:r>
            <w:proofErr w:type="spellStart"/>
            <w:r w:rsidRPr="00E65CFD">
              <w:rPr>
                <w:rFonts w:cs="Calibri Light"/>
                <w:sz w:val="20"/>
                <w:szCs w:val="20"/>
              </w:rPr>
              <w:t>Itron</w:t>
            </w:r>
            <w:proofErr w:type="spellEnd"/>
            <w:r w:rsidRPr="00E65CFD">
              <w:rPr>
                <w:rFonts w:cs="Calibri Light"/>
                <w:sz w:val="20"/>
                <w:szCs w:val="20"/>
              </w:rPr>
              <w:t xml:space="preserve"> ESPI Pipe Insulation Report. The GSIA of</w:t>
            </w:r>
            <w:r w:rsidR="00E65CFD">
              <w:rPr>
                <w:rFonts w:cs="Calibri Light"/>
                <w:sz w:val="20"/>
                <w:szCs w:val="20"/>
              </w:rPr>
              <w:t xml:space="preserve"> </w:t>
            </w:r>
            <w:r w:rsidR="00911C57">
              <w:rPr>
                <w:rFonts w:cs="Calibri Light"/>
                <w:sz w:val="20"/>
                <w:szCs w:val="20"/>
              </w:rPr>
              <w:t>1</w:t>
            </w:r>
            <w:r w:rsidR="00E65CFD">
              <w:rPr>
                <w:rFonts w:cs="Calibri Light"/>
                <w:sz w:val="20"/>
                <w:szCs w:val="20"/>
              </w:rPr>
              <w:t xml:space="preserve"> </w:t>
            </w:r>
            <w:r w:rsidRPr="00E65CFD">
              <w:rPr>
                <w:rFonts w:cs="Calibri Light"/>
                <w:sz w:val="20"/>
                <w:szCs w:val="20"/>
              </w:rPr>
              <w:t>is associated</w:t>
            </w:r>
            <w:r w:rsidR="00E65CFD">
              <w:rPr>
                <w:rFonts w:cs="Calibri Light"/>
                <w:sz w:val="20"/>
                <w:szCs w:val="20"/>
              </w:rPr>
              <w:t xml:space="preserve"> </w:t>
            </w:r>
            <w:r w:rsidRPr="00E65CFD">
              <w:rPr>
                <w:rFonts w:cs="Calibri Light"/>
                <w:sz w:val="20"/>
                <w:szCs w:val="20"/>
              </w:rPr>
              <w:t>with GSIA ID:</w:t>
            </w:r>
            <w:r w:rsidR="00E65CFD" w:rsidRPr="00E65CFD">
              <w:rPr>
                <w:rFonts w:cs="Calibri Light"/>
                <w:sz w:val="20"/>
                <w:szCs w:val="20"/>
              </w:rPr>
              <w:t xml:space="preserve"> </w:t>
            </w:r>
            <w:r w:rsidR="00A06A43">
              <w:rPr>
                <w:rFonts w:cs="Calibri Light"/>
                <w:sz w:val="20"/>
                <w:szCs w:val="20"/>
              </w:rPr>
              <w:t>Def</w:t>
            </w:r>
            <w:r w:rsidR="00D24429">
              <w:rPr>
                <w:rFonts w:cs="Calibri Light"/>
                <w:sz w:val="20"/>
                <w:szCs w:val="20"/>
              </w:rPr>
              <w:t>-GSIA</w:t>
            </w:r>
          </w:p>
        </w:tc>
      </w:tr>
      <w:tr w:rsidR="00EA057C" w:rsidRPr="00500C4E" w14:paraId="4D0F7E1B" w14:textId="77777777" w:rsidTr="00EA057C">
        <w:trPr>
          <w:trHeight w:val="20"/>
        </w:trPr>
        <w:tc>
          <w:tcPr>
            <w:tcW w:w="1730" w:type="pct"/>
          </w:tcPr>
          <w:p w14:paraId="103BA947" w14:textId="6665B2EA" w:rsidR="00EA057C" w:rsidRPr="00E65CFD" w:rsidRDefault="00EA057C" w:rsidP="005710BF">
            <w:pPr>
              <w:spacing w:before="20" w:after="20"/>
              <w:rPr>
                <w:rFonts w:cs="Calibri Light"/>
                <w:sz w:val="20"/>
                <w:szCs w:val="20"/>
              </w:rPr>
            </w:pPr>
            <w:r w:rsidRPr="00E65CFD">
              <w:rPr>
                <w:rFonts w:cs="Calibri Light"/>
                <w:sz w:val="20"/>
                <w:szCs w:val="20"/>
              </w:rPr>
              <w:t>EUL/RUL</w:t>
            </w:r>
          </w:p>
        </w:tc>
        <w:tc>
          <w:tcPr>
            <w:tcW w:w="3270" w:type="pct"/>
          </w:tcPr>
          <w:p w14:paraId="5BD9C961" w14:textId="7203A1D1" w:rsidR="00EA057C" w:rsidRPr="00E65CFD" w:rsidRDefault="00621FDB" w:rsidP="005710BF">
            <w:pPr>
              <w:spacing w:before="20" w:after="20"/>
              <w:rPr>
                <w:rFonts w:cs="Calibri Light"/>
                <w:sz w:val="20"/>
                <w:szCs w:val="20"/>
              </w:rPr>
            </w:pPr>
            <w:r w:rsidRPr="00E65CFD">
              <w:rPr>
                <w:rFonts w:cs="Calibri Light"/>
                <w:sz w:val="20"/>
                <w:szCs w:val="20"/>
              </w:rPr>
              <w:t>Source: The value of</w:t>
            </w:r>
            <w:r w:rsidR="004B1E23">
              <w:rPr>
                <w:rFonts w:cs="Calibri Light"/>
                <w:sz w:val="20"/>
                <w:szCs w:val="20"/>
              </w:rPr>
              <w:t xml:space="preserve"> </w:t>
            </w:r>
            <w:r w:rsidRPr="00E65CFD">
              <w:rPr>
                <w:rFonts w:cs="Calibri Light"/>
                <w:sz w:val="20"/>
                <w:szCs w:val="20"/>
              </w:rPr>
              <w:t>20years is associated with EUL ID:</w:t>
            </w:r>
            <w:r w:rsidR="0089608F" w:rsidRPr="00E65CFD">
              <w:rPr>
                <w:rFonts w:cs="Calibri Light"/>
                <w:sz w:val="20"/>
                <w:szCs w:val="20"/>
              </w:rPr>
              <w:t xml:space="preserve"> WtrHt‐WH‐R4PipeIns‐Gas</w:t>
            </w:r>
            <w:r w:rsidRPr="00E65CFD">
              <w:rPr>
                <w:rFonts w:cs="Calibri Light"/>
                <w:sz w:val="20"/>
                <w:szCs w:val="20"/>
              </w:rPr>
              <w:t>.RUL ID:</w:t>
            </w:r>
            <w:r w:rsidR="0089608F" w:rsidRPr="00E65CFD">
              <w:rPr>
                <w:rFonts w:cs="Calibri Light"/>
                <w:sz w:val="20"/>
                <w:szCs w:val="20"/>
              </w:rPr>
              <w:t xml:space="preserve"> WtrHt‐WH‐R4PipeIns‐Gas </w:t>
            </w:r>
            <w:r w:rsidRPr="00E65CFD">
              <w:rPr>
                <w:rFonts w:cs="Calibri Light"/>
                <w:sz w:val="20"/>
                <w:szCs w:val="20"/>
              </w:rPr>
              <w:t>(proposed)</w:t>
            </w:r>
          </w:p>
        </w:tc>
      </w:tr>
    </w:tbl>
    <w:p w14:paraId="3D440479" w14:textId="77777777" w:rsidR="00EA057C" w:rsidRDefault="00EA057C" w:rsidP="004142EF">
      <w:bookmarkStart w:id="68" w:name="_Hlk516051142"/>
    </w:p>
    <w:p w14:paraId="59542C0D" w14:textId="77777777" w:rsidR="007D230B" w:rsidRDefault="007D230B" w:rsidP="00462BB6">
      <w:pPr>
        <w:pStyle w:val="eTRMHeading3"/>
      </w:pPr>
      <w:bookmarkStart w:id="69" w:name="_Toc486490866"/>
      <w:bookmarkStart w:id="70" w:name="_Toc486580937"/>
      <w:bookmarkStart w:id="71" w:name="_Toc5966625"/>
      <w:bookmarkStart w:id="72" w:name="_Hlk516047558"/>
      <w:r w:rsidRPr="004B06E3">
        <w:lastRenderedPageBreak/>
        <w:t>Revision History</w:t>
      </w:r>
      <w:bookmarkEnd w:id="69"/>
      <w:bookmarkEnd w:id="70"/>
      <w:bookmarkEnd w:id="71"/>
    </w:p>
    <w:p w14:paraId="3661732B" w14:textId="277A4005" w:rsidR="00CA1CB3" w:rsidRDefault="00742F88" w:rsidP="00742F88">
      <w:pPr>
        <w:pStyle w:val="Caption"/>
      </w:pPr>
      <w:bookmarkStart w:id="73"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664"/>
        <w:gridCol w:w="1891"/>
        <w:gridCol w:w="4855"/>
      </w:tblGrid>
      <w:tr w:rsidR="00CA1CB3" w:rsidRPr="00500C4E" w14:paraId="1904D58C" w14:textId="6E96D877" w:rsidTr="00036EFF">
        <w:trPr>
          <w:trHeight w:val="20"/>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890" w:type="pct"/>
            <w:shd w:val="clear" w:color="auto" w:fill="F2F2F2" w:themeFill="background1" w:themeFillShade="F2"/>
            <w:vAlign w:val="bottom"/>
          </w:tcPr>
          <w:p w14:paraId="7DC8BCED" w14:textId="014AA234" w:rsidR="00CA1CB3" w:rsidRPr="00EA057C" w:rsidRDefault="00036EFF" w:rsidP="00871123">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1011"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596" w:type="pct"/>
            <w:shd w:val="clear" w:color="auto" w:fill="F2F2F2" w:themeFill="background1" w:themeFillShade="F2"/>
            <w:vAlign w:val="bottom"/>
          </w:tcPr>
          <w:p w14:paraId="2BFB4352" w14:textId="7D444C41" w:rsidR="00CA1CB3" w:rsidRDefault="00CA1CB3" w:rsidP="00871123">
            <w:pPr>
              <w:keepNext/>
              <w:keepLines/>
              <w:spacing w:before="20" w:after="20"/>
              <w:rPr>
                <w:rFonts w:cs="Arial"/>
                <w:b/>
                <w:sz w:val="20"/>
                <w:szCs w:val="20"/>
              </w:rPr>
            </w:pPr>
            <w:r>
              <w:rPr>
                <w:rFonts w:cs="Arial"/>
                <w:b/>
                <w:sz w:val="20"/>
                <w:szCs w:val="20"/>
              </w:rPr>
              <w:t>Revision Summary and Rationale for Revision</w:t>
            </w:r>
          </w:p>
        </w:tc>
      </w:tr>
      <w:tr w:rsidR="00B1771E" w:rsidRPr="00CA1CB3" w14:paraId="0A9DBD7D" w14:textId="04A29668" w:rsidTr="00036EFF">
        <w:trPr>
          <w:trHeight w:val="20"/>
        </w:trPr>
        <w:tc>
          <w:tcPr>
            <w:tcW w:w="503" w:type="pct"/>
            <w:vMerge w:val="restart"/>
          </w:tcPr>
          <w:p w14:paraId="4A1C6C31" w14:textId="77777777" w:rsidR="00B1771E" w:rsidRDefault="00B1771E" w:rsidP="00D60987">
            <w:pPr>
              <w:keepNext/>
              <w:keepLines/>
              <w:spacing w:before="20" w:after="20"/>
              <w:rPr>
                <w:rFonts w:cs="Arial"/>
                <w:sz w:val="20"/>
                <w:szCs w:val="20"/>
              </w:rPr>
            </w:pPr>
          </w:p>
          <w:p w14:paraId="320D26E6" w14:textId="77777777" w:rsidR="00B1771E" w:rsidRDefault="00B1771E" w:rsidP="00D60987">
            <w:pPr>
              <w:keepNext/>
              <w:keepLines/>
              <w:spacing w:before="20" w:after="20"/>
              <w:rPr>
                <w:rFonts w:cs="Arial"/>
                <w:sz w:val="20"/>
                <w:szCs w:val="20"/>
              </w:rPr>
            </w:pPr>
          </w:p>
          <w:p w14:paraId="4BCD4E53" w14:textId="77777777" w:rsidR="00B1771E" w:rsidRDefault="00B1771E" w:rsidP="00D60987">
            <w:pPr>
              <w:keepNext/>
              <w:keepLines/>
              <w:spacing w:before="20" w:after="20"/>
              <w:rPr>
                <w:rFonts w:cs="Arial"/>
                <w:sz w:val="20"/>
                <w:szCs w:val="20"/>
              </w:rPr>
            </w:pPr>
          </w:p>
          <w:p w14:paraId="7B8815E2" w14:textId="77777777" w:rsidR="00B1771E" w:rsidRDefault="00B1771E" w:rsidP="00D60987">
            <w:pPr>
              <w:keepNext/>
              <w:keepLines/>
              <w:spacing w:before="20" w:after="20"/>
              <w:rPr>
                <w:rFonts w:cs="Arial"/>
                <w:sz w:val="20"/>
                <w:szCs w:val="20"/>
              </w:rPr>
            </w:pPr>
          </w:p>
          <w:p w14:paraId="38788C98" w14:textId="1E42962E" w:rsidR="00B1771E" w:rsidRPr="00CA1CB3" w:rsidRDefault="00B1771E" w:rsidP="00D60987">
            <w:pPr>
              <w:keepNext/>
              <w:keepLines/>
              <w:spacing w:before="20" w:after="20"/>
              <w:rPr>
                <w:rFonts w:cs="Arial"/>
                <w:sz w:val="20"/>
                <w:szCs w:val="20"/>
              </w:rPr>
            </w:pPr>
            <w:r>
              <w:rPr>
                <w:rFonts w:cs="Arial"/>
                <w:sz w:val="20"/>
                <w:szCs w:val="20"/>
              </w:rPr>
              <w:t>01</w:t>
            </w:r>
          </w:p>
        </w:tc>
        <w:tc>
          <w:tcPr>
            <w:tcW w:w="890" w:type="pct"/>
          </w:tcPr>
          <w:p w14:paraId="03B67B1D" w14:textId="50F2CF13" w:rsidR="00B1771E" w:rsidRPr="00F12872" w:rsidRDefault="00B1771E" w:rsidP="00D60987">
            <w:pPr>
              <w:keepNext/>
              <w:keepLines/>
              <w:spacing w:before="20" w:after="20"/>
              <w:rPr>
                <w:rFonts w:cs="Arial"/>
                <w:sz w:val="20"/>
                <w:szCs w:val="20"/>
              </w:rPr>
            </w:pPr>
            <w:r w:rsidRPr="00F12872">
              <w:rPr>
                <w:rFonts w:cs="Arial"/>
                <w:sz w:val="20"/>
                <w:szCs w:val="20"/>
              </w:rPr>
              <w:t>12/02/2019</w:t>
            </w:r>
          </w:p>
        </w:tc>
        <w:tc>
          <w:tcPr>
            <w:tcW w:w="1011" w:type="pct"/>
          </w:tcPr>
          <w:p w14:paraId="0E37273D" w14:textId="56C13198" w:rsidR="00B1771E" w:rsidRPr="00F12872" w:rsidRDefault="00B1771E" w:rsidP="00D60987">
            <w:pPr>
              <w:keepNext/>
              <w:keepLines/>
              <w:spacing w:before="20" w:after="20"/>
              <w:rPr>
                <w:rFonts w:cs="Arial"/>
                <w:sz w:val="20"/>
                <w:szCs w:val="20"/>
              </w:rPr>
            </w:pPr>
            <w:r w:rsidRPr="00F12872">
              <w:rPr>
                <w:rFonts w:cs="Arial"/>
                <w:sz w:val="20"/>
                <w:szCs w:val="20"/>
              </w:rPr>
              <w:t>Jaime Lopez</w:t>
            </w:r>
          </w:p>
          <w:p w14:paraId="6CBA2EBA" w14:textId="77777777" w:rsidR="00B1771E" w:rsidRDefault="00B1771E" w:rsidP="00D60987">
            <w:pPr>
              <w:keepNext/>
              <w:keepLines/>
              <w:spacing w:before="20" w:after="20"/>
              <w:rPr>
                <w:rFonts w:cs="Arial"/>
                <w:sz w:val="20"/>
                <w:szCs w:val="20"/>
              </w:rPr>
            </w:pPr>
            <w:r w:rsidRPr="00F12872">
              <w:rPr>
                <w:rFonts w:cs="Arial"/>
                <w:sz w:val="20"/>
                <w:szCs w:val="20"/>
              </w:rPr>
              <w:t>SoCalGas</w:t>
            </w:r>
          </w:p>
          <w:p w14:paraId="32D154D7" w14:textId="7A2B5DCB" w:rsidR="00B1771E" w:rsidRPr="00F12872" w:rsidRDefault="00B1771E" w:rsidP="00D60987">
            <w:pPr>
              <w:keepNext/>
              <w:keepLines/>
              <w:spacing w:before="20" w:after="20"/>
              <w:rPr>
                <w:rFonts w:cs="Arial"/>
                <w:sz w:val="20"/>
                <w:szCs w:val="20"/>
              </w:rPr>
            </w:pPr>
          </w:p>
        </w:tc>
        <w:tc>
          <w:tcPr>
            <w:tcW w:w="2596" w:type="pct"/>
          </w:tcPr>
          <w:p w14:paraId="6C70C36F" w14:textId="045686E6" w:rsidR="00B1771E" w:rsidRPr="00CA1CB3" w:rsidRDefault="00B1771E" w:rsidP="00036EFF">
            <w:pPr>
              <w:keepNext/>
              <w:keepLines/>
              <w:spacing w:before="20" w:after="20"/>
              <w:rPr>
                <w:rFonts w:cs="Arial"/>
                <w:sz w:val="20"/>
                <w:szCs w:val="20"/>
              </w:rPr>
            </w:pPr>
            <w:r>
              <w:rPr>
                <w:rFonts w:cs="Calibri Light"/>
                <w:sz w:val="20"/>
                <w:szCs w:val="20"/>
              </w:rPr>
              <w:t>New Workpaper</w:t>
            </w:r>
          </w:p>
        </w:tc>
      </w:tr>
      <w:tr w:rsidR="00B1771E" w:rsidRPr="00CA1CB3" w14:paraId="33BB23AD" w14:textId="77777777" w:rsidTr="00036EFF">
        <w:trPr>
          <w:trHeight w:val="20"/>
        </w:trPr>
        <w:tc>
          <w:tcPr>
            <w:tcW w:w="503" w:type="pct"/>
            <w:vMerge/>
          </w:tcPr>
          <w:p w14:paraId="426505F2" w14:textId="77777777" w:rsidR="00B1771E" w:rsidRDefault="00B1771E" w:rsidP="00845DC3">
            <w:pPr>
              <w:keepNext/>
              <w:keepLines/>
              <w:spacing w:before="20" w:after="20"/>
              <w:rPr>
                <w:rFonts w:cs="Arial"/>
                <w:sz w:val="20"/>
                <w:szCs w:val="20"/>
              </w:rPr>
            </w:pPr>
          </w:p>
        </w:tc>
        <w:tc>
          <w:tcPr>
            <w:tcW w:w="890" w:type="pct"/>
          </w:tcPr>
          <w:p w14:paraId="38A1F6FF" w14:textId="3C2F7126" w:rsidR="00B1771E" w:rsidRDefault="00B1771E" w:rsidP="00845DC3">
            <w:pPr>
              <w:keepNext/>
              <w:keepLines/>
              <w:spacing w:before="20" w:after="20"/>
              <w:rPr>
                <w:rFonts w:cs="Arial"/>
                <w:sz w:val="20"/>
                <w:szCs w:val="20"/>
              </w:rPr>
            </w:pPr>
            <w:r>
              <w:rPr>
                <w:rFonts w:cs="Arial"/>
                <w:sz w:val="20"/>
                <w:szCs w:val="20"/>
              </w:rPr>
              <w:t>02/07/2019</w:t>
            </w:r>
          </w:p>
        </w:tc>
        <w:tc>
          <w:tcPr>
            <w:tcW w:w="1011" w:type="pct"/>
          </w:tcPr>
          <w:p w14:paraId="173E784D" w14:textId="77777777" w:rsidR="00B1771E" w:rsidRDefault="00B1771E" w:rsidP="00845DC3">
            <w:pPr>
              <w:keepNext/>
              <w:keepLines/>
              <w:spacing w:before="20" w:after="20"/>
              <w:rPr>
                <w:rFonts w:cs="Arial"/>
                <w:sz w:val="20"/>
                <w:szCs w:val="20"/>
              </w:rPr>
            </w:pPr>
            <w:r>
              <w:rPr>
                <w:rFonts w:cs="Arial"/>
                <w:sz w:val="20"/>
                <w:szCs w:val="20"/>
              </w:rPr>
              <w:t>Andres Marquez</w:t>
            </w:r>
          </w:p>
          <w:p w14:paraId="5BB642BE" w14:textId="77777777" w:rsidR="00B1771E" w:rsidRDefault="00B1771E" w:rsidP="00845DC3">
            <w:pPr>
              <w:keepNext/>
              <w:keepLines/>
              <w:spacing w:before="20" w:after="20"/>
              <w:rPr>
                <w:rFonts w:cs="Arial"/>
                <w:sz w:val="20"/>
                <w:szCs w:val="20"/>
              </w:rPr>
            </w:pPr>
            <w:r>
              <w:rPr>
                <w:rFonts w:cs="Arial"/>
                <w:sz w:val="20"/>
                <w:szCs w:val="20"/>
              </w:rPr>
              <w:t>SoCalGas</w:t>
            </w:r>
          </w:p>
          <w:p w14:paraId="388D658F" w14:textId="3D9A18CD" w:rsidR="00B1771E" w:rsidRDefault="00B1771E" w:rsidP="00845DC3">
            <w:pPr>
              <w:keepNext/>
              <w:keepLines/>
              <w:spacing w:before="20" w:after="20"/>
              <w:rPr>
                <w:rFonts w:cs="Arial"/>
                <w:sz w:val="20"/>
                <w:szCs w:val="20"/>
              </w:rPr>
            </w:pPr>
          </w:p>
        </w:tc>
        <w:tc>
          <w:tcPr>
            <w:tcW w:w="2596" w:type="pct"/>
          </w:tcPr>
          <w:p w14:paraId="237DFF62" w14:textId="634F105C" w:rsidR="00B1771E" w:rsidRPr="00E3340C" w:rsidRDefault="00B1771E" w:rsidP="00F12872">
            <w:pPr>
              <w:keepNext/>
              <w:keepLines/>
              <w:spacing w:before="20" w:after="20"/>
              <w:rPr>
                <w:rFonts w:cs="Calibri Light"/>
                <w:sz w:val="20"/>
                <w:szCs w:val="20"/>
              </w:rPr>
            </w:pPr>
            <w:r w:rsidRPr="00F12872">
              <w:rPr>
                <w:rFonts w:cs="Calibri Light"/>
                <w:sz w:val="20"/>
                <w:szCs w:val="20"/>
              </w:rPr>
              <w:t xml:space="preserve">Minor </w:t>
            </w:r>
            <w:r>
              <w:rPr>
                <w:rFonts w:cs="Calibri Light"/>
                <w:sz w:val="20"/>
                <w:szCs w:val="20"/>
              </w:rPr>
              <w:t>edits per “</w:t>
            </w:r>
            <w:r w:rsidRPr="00F12872">
              <w:rPr>
                <w:rFonts w:cs="Calibri Light"/>
                <w:sz w:val="20"/>
                <w:szCs w:val="20"/>
              </w:rPr>
              <w:t>CPUC Comments 01/21/2019, SWWH026-01 Residential Pipe Wrap</w:t>
            </w:r>
            <w:r>
              <w:rPr>
                <w:rFonts w:cs="Calibri Light"/>
                <w:sz w:val="20"/>
                <w:szCs w:val="20"/>
              </w:rPr>
              <w:t>”</w:t>
            </w:r>
            <w:r w:rsidRPr="00F12872">
              <w:rPr>
                <w:rFonts w:cs="Calibri Light"/>
                <w:sz w:val="20"/>
                <w:szCs w:val="20"/>
              </w:rPr>
              <w:t xml:space="preserve"> </w:t>
            </w:r>
          </w:p>
        </w:tc>
      </w:tr>
      <w:tr w:rsidR="00B1771E" w:rsidRPr="00CA1CB3" w14:paraId="2D309A81" w14:textId="77777777" w:rsidTr="00036EFF">
        <w:trPr>
          <w:trHeight w:val="20"/>
        </w:trPr>
        <w:tc>
          <w:tcPr>
            <w:tcW w:w="503" w:type="pct"/>
            <w:vMerge/>
          </w:tcPr>
          <w:p w14:paraId="18C94692" w14:textId="77777777" w:rsidR="00B1771E" w:rsidRDefault="00B1771E" w:rsidP="00845DC3">
            <w:pPr>
              <w:keepNext/>
              <w:keepLines/>
              <w:spacing w:before="20" w:after="20"/>
              <w:rPr>
                <w:rFonts w:cs="Arial"/>
                <w:sz w:val="20"/>
                <w:szCs w:val="20"/>
              </w:rPr>
            </w:pPr>
          </w:p>
        </w:tc>
        <w:tc>
          <w:tcPr>
            <w:tcW w:w="890" w:type="pct"/>
          </w:tcPr>
          <w:p w14:paraId="7CA520EF" w14:textId="409105FF" w:rsidR="00B1771E" w:rsidRDefault="00B1771E" w:rsidP="00845DC3">
            <w:pPr>
              <w:keepNext/>
              <w:keepLines/>
              <w:spacing w:before="20" w:after="20"/>
              <w:rPr>
                <w:rFonts w:cs="Arial"/>
                <w:sz w:val="20"/>
                <w:szCs w:val="20"/>
              </w:rPr>
            </w:pPr>
            <w:r>
              <w:rPr>
                <w:rFonts w:cs="Arial"/>
                <w:sz w:val="20"/>
                <w:szCs w:val="20"/>
              </w:rPr>
              <w:t>05/27/2020</w:t>
            </w:r>
          </w:p>
        </w:tc>
        <w:tc>
          <w:tcPr>
            <w:tcW w:w="1011" w:type="pct"/>
          </w:tcPr>
          <w:p w14:paraId="65ED5F1E" w14:textId="1F5C7A71" w:rsidR="00B1771E" w:rsidRDefault="00B1771E" w:rsidP="00845DC3">
            <w:pPr>
              <w:keepNext/>
              <w:keepLines/>
              <w:spacing w:before="20" w:after="20"/>
              <w:rPr>
                <w:rFonts w:cs="Arial"/>
                <w:sz w:val="20"/>
                <w:szCs w:val="20"/>
              </w:rPr>
            </w:pPr>
            <w:r>
              <w:rPr>
                <w:rFonts w:cs="Arial"/>
                <w:sz w:val="20"/>
                <w:szCs w:val="20"/>
              </w:rPr>
              <w:t>Eduardo Reynoso, SDG&amp;E</w:t>
            </w:r>
          </w:p>
        </w:tc>
        <w:tc>
          <w:tcPr>
            <w:tcW w:w="2596" w:type="pct"/>
          </w:tcPr>
          <w:p w14:paraId="68ECB670" w14:textId="77777777" w:rsidR="00B1771E" w:rsidRDefault="00B1771E" w:rsidP="00F12872">
            <w:pPr>
              <w:keepNext/>
              <w:keepLines/>
              <w:spacing w:before="20" w:after="20"/>
              <w:rPr>
                <w:rFonts w:cs="Calibri Light"/>
                <w:sz w:val="20"/>
                <w:szCs w:val="20"/>
              </w:rPr>
            </w:pPr>
            <w:r>
              <w:rPr>
                <w:rFonts w:cs="Calibri Light"/>
                <w:sz w:val="20"/>
                <w:szCs w:val="20"/>
              </w:rPr>
              <w:t>Workpaper measure adoption by SDG&amp;E, no changes to energy efficiency savings or cost. Updated Ex-ante Implementation data table. No other changes.</w:t>
            </w:r>
          </w:p>
          <w:p w14:paraId="5E66EA1F" w14:textId="0682F48F" w:rsidR="00B1771E" w:rsidRPr="00F12872" w:rsidRDefault="00B1771E" w:rsidP="00F12872">
            <w:pPr>
              <w:keepNext/>
              <w:keepLines/>
              <w:spacing w:before="20" w:after="20"/>
              <w:rPr>
                <w:rFonts w:cs="Calibri Light"/>
                <w:sz w:val="20"/>
                <w:szCs w:val="20"/>
              </w:rPr>
            </w:pPr>
          </w:p>
        </w:tc>
      </w:tr>
      <w:tr w:rsidR="00B1771E" w:rsidRPr="00CA1CB3" w14:paraId="6285D159" w14:textId="77777777" w:rsidTr="00036EFF">
        <w:trPr>
          <w:trHeight w:val="20"/>
        </w:trPr>
        <w:tc>
          <w:tcPr>
            <w:tcW w:w="503" w:type="pct"/>
            <w:vMerge/>
          </w:tcPr>
          <w:p w14:paraId="17902928" w14:textId="77777777" w:rsidR="00B1771E" w:rsidRDefault="00B1771E" w:rsidP="00845DC3">
            <w:pPr>
              <w:keepNext/>
              <w:keepLines/>
              <w:spacing w:before="20" w:after="20"/>
              <w:rPr>
                <w:rFonts w:cs="Arial"/>
                <w:sz w:val="20"/>
                <w:szCs w:val="20"/>
              </w:rPr>
            </w:pPr>
          </w:p>
        </w:tc>
        <w:tc>
          <w:tcPr>
            <w:tcW w:w="890" w:type="pct"/>
          </w:tcPr>
          <w:p w14:paraId="1087AFA9" w14:textId="5117C359" w:rsidR="00B1771E" w:rsidRDefault="00511305" w:rsidP="00845DC3">
            <w:pPr>
              <w:keepNext/>
              <w:keepLines/>
              <w:spacing w:before="20" w:after="20"/>
              <w:rPr>
                <w:rFonts w:cs="Arial"/>
                <w:sz w:val="20"/>
                <w:szCs w:val="20"/>
              </w:rPr>
            </w:pPr>
            <w:r>
              <w:rPr>
                <w:rFonts w:cs="Arial"/>
                <w:sz w:val="20"/>
                <w:szCs w:val="20"/>
              </w:rPr>
              <w:t>03/</w:t>
            </w:r>
            <w:r w:rsidR="0071408D">
              <w:rPr>
                <w:rFonts w:cs="Arial"/>
                <w:sz w:val="20"/>
                <w:szCs w:val="20"/>
              </w:rPr>
              <w:t>30</w:t>
            </w:r>
            <w:r>
              <w:rPr>
                <w:rFonts w:cs="Arial"/>
                <w:sz w:val="20"/>
                <w:szCs w:val="20"/>
              </w:rPr>
              <w:t>/2021</w:t>
            </w:r>
          </w:p>
        </w:tc>
        <w:tc>
          <w:tcPr>
            <w:tcW w:w="1011" w:type="pct"/>
          </w:tcPr>
          <w:p w14:paraId="62BC61F3" w14:textId="77777777" w:rsidR="00B1771E" w:rsidRDefault="0017719D" w:rsidP="00845DC3">
            <w:pPr>
              <w:keepNext/>
              <w:keepLines/>
              <w:spacing w:before="20" w:after="20"/>
              <w:rPr>
                <w:rFonts w:cs="Arial"/>
                <w:sz w:val="20"/>
                <w:szCs w:val="20"/>
              </w:rPr>
            </w:pPr>
            <w:r>
              <w:rPr>
                <w:rFonts w:cs="Arial"/>
                <w:sz w:val="20"/>
                <w:szCs w:val="20"/>
              </w:rPr>
              <w:t>Soe K Hla</w:t>
            </w:r>
          </w:p>
          <w:p w14:paraId="406AAEDA" w14:textId="20378B70" w:rsidR="0017719D" w:rsidRDefault="0017719D" w:rsidP="00845DC3">
            <w:pPr>
              <w:keepNext/>
              <w:keepLines/>
              <w:spacing w:before="20" w:after="20"/>
              <w:rPr>
                <w:rFonts w:cs="Arial"/>
                <w:sz w:val="20"/>
                <w:szCs w:val="20"/>
              </w:rPr>
            </w:pPr>
            <w:r>
              <w:rPr>
                <w:rFonts w:cs="Arial"/>
                <w:sz w:val="20"/>
                <w:szCs w:val="20"/>
              </w:rPr>
              <w:t>PG&amp;E</w:t>
            </w:r>
          </w:p>
        </w:tc>
        <w:tc>
          <w:tcPr>
            <w:tcW w:w="2596" w:type="pct"/>
          </w:tcPr>
          <w:p w14:paraId="7C23CF55" w14:textId="77777777" w:rsidR="00B1771E" w:rsidRDefault="0017719D" w:rsidP="00F12872">
            <w:pPr>
              <w:keepNext/>
              <w:keepLines/>
              <w:spacing w:before="20" w:after="20"/>
              <w:rPr>
                <w:rFonts w:cs="Calibri Light"/>
                <w:sz w:val="20"/>
                <w:szCs w:val="20"/>
              </w:rPr>
            </w:pPr>
            <w:r>
              <w:rPr>
                <w:rFonts w:cs="Calibri Light"/>
                <w:sz w:val="20"/>
                <w:szCs w:val="20"/>
              </w:rPr>
              <w:t>Adopted all measures for PG&amp;E.</w:t>
            </w:r>
          </w:p>
          <w:p w14:paraId="57C2AD79" w14:textId="564ADBA3" w:rsidR="005F10A7" w:rsidRDefault="005F10A7" w:rsidP="00F12872">
            <w:pPr>
              <w:keepNext/>
              <w:keepLines/>
              <w:spacing w:before="20" w:after="20"/>
              <w:rPr>
                <w:rFonts w:cs="Calibri Light"/>
                <w:sz w:val="20"/>
                <w:szCs w:val="20"/>
              </w:rPr>
            </w:pPr>
            <w:r>
              <w:rPr>
                <w:rFonts w:cs="Calibri Light"/>
                <w:sz w:val="20"/>
                <w:szCs w:val="20"/>
              </w:rPr>
              <w:t xml:space="preserve">Fixed incorrect GSIA ID </w:t>
            </w:r>
            <w:r w:rsidR="00D96B7A">
              <w:rPr>
                <w:rFonts w:cs="Calibri Light"/>
                <w:sz w:val="20"/>
                <w:szCs w:val="20"/>
              </w:rPr>
              <w:t>from Res-Ins-All to Def-GSIA</w:t>
            </w:r>
          </w:p>
        </w:tc>
      </w:tr>
      <w:bookmarkEnd w:id="68"/>
      <w:bookmarkEnd w:id="72"/>
      <w:bookmarkEnd w:id="73"/>
    </w:tbl>
    <w:p w14:paraId="5C9CAB2A" w14:textId="77777777" w:rsidR="00085726" w:rsidRDefault="00085726" w:rsidP="00387072"/>
    <w:sectPr w:rsidR="00085726"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46972A" w14:textId="77777777" w:rsidR="00731FCD" w:rsidRDefault="00731FCD" w:rsidP="00A2690C">
      <w:r>
        <w:separator/>
      </w:r>
    </w:p>
    <w:p w14:paraId="7B21EABD" w14:textId="77777777" w:rsidR="00731FCD" w:rsidRDefault="00731FCD"/>
  </w:endnote>
  <w:endnote w:type="continuationSeparator" w:id="0">
    <w:p w14:paraId="68DC32BD" w14:textId="77777777" w:rsidR="00731FCD" w:rsidRDefault="00731FCD" w:rsidP="00A2690C">
      <w:r>
        <w:continuationSeparator/>
      </w:r>
    </w:p>
    <w:p w14:paraId="62935A2B" w14:textId="77777777" w:rsidR="00731FCD" w:rsidRDefault="00731F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Calibri-Light">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8B2B0D" w:rsidRDefault="008B2B0D"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8B2B0D" w:rsidRPr="00B837C1" w:rsidRDefault="008B2B0D"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8B2B0D" w:rsidRDefault="008B2B0D"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8B2B0D" w:rsidRPr="00B837C1" w:rsidRDefault="008B2B0D"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8B2B0D" w:rsidRDefault="008B2B0D"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8B2B0D" w:rsidRPr="005F505E" w:rsidRDefault="008B2B0D"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30C0D" w14:textId="77777777" w:rsidR="00731FCD" w:rsidRDefault="00731FCD" w:rsidP="00A2690C">
      <w:r>
        <w:separator/>
      </w:r>
    </w:p>
    <w:p w14:paraId="45F21F32" w14:textId="77777777" w:rsidR="00731FCD" w:rsidRDefault="00731FCD"/>
  </w:footnote>
  <w:footnote w:type="continuationSeparator" w:id="0">
    <w:p w14:paraId="43F7019B" w14:textId="77777777" w:rsidR="00731FCD" w:rsidRDefault="00731FCD" w:rsidP="00A2690C">
      <w:r>
        <w:continuationSeparator/>
      </w:r>
    </w:p>
    <w:p w14:paraId="76055D10" w14:textId="77777777" w:rsidR="00731FCD" w:rsidRDefault="00731FCD"/>
  </w:footnote>
  <w:footnote w:id="1">
    <w:p w14:paraId="68D01079" w14:textId="5F9A7EA1" w:rsidR="008B2B0D" w:rsidRDefault="008B2B0D">
      <w:pPr>
        <w:pStyle w:val="FootnoteText"/>
      </w:pPr>
      <w:r>
        <w:rPr>
          <w:rStyle w:val="FootnoteReference"/>
        </w:rPr>
        <w:footnoteRef/>
      </w:r>
      <w:r>
        <w:t xml:space="preserve"> </w:t>
      </w:r>
      <w:r w:rsidRPr="00D9198B">
        <w:rPr>
          <w:sz w:val="14"/>
          <w:szCs w:val="14"/>
        </w:rPr>
        <w:t>Residential Pipe Wrap Analysis.xls</w:t>
      </w:r>
    </w:p>
  </w:footnote>
  <w:footnote w:id="2">
    <w:p w14:paraId="7E9E57D5" w14:textId="313ED384" w:rsidR="008B2B0D" w:rsidRDefault="008B2B0D">
      <w:pPr>
        <w:pStyle w:val="FootnoteText"/>
      </w:pPr>
      <w:r>
        <w:rPr>
          <w:rStyle w:val="FootnoteReference"/>
        </w:rPr>
        <w:footnoteRef/>
      </w:r>
      <w:r>
        <w:t xml:space="preserve"> </w:t>
      </w:r>
      <w:r w:rsidR="00D9198B" w:rsidRPr="00D9198B">
        <w:rPr>
          <w:sz w:val="14"/>
          <w:szCs w:val="14"/>
        </w:rPr>
        <w:t>California Energy Commission (CEC). 2015.2016 Building Energy Efficiency Standards for Residential and NonresidentialBuildings.CEC-400-2015-037-CMF</w:t>
      </w:r>
    </w:p>
  </w:footnote>
  <w:footnote w:id="3">
    <w:p w14:paraId="665714A3" w14:textId="2F1E19E7" w:rsidR="008B2B0D" w:rsidRPr="00EB0D0E" w:rsidRDefault="008B2B0D">
      <w:pPr>
        <w:pStyle w:val="FootnoteText"/>
        <w:rPr>
          <w:sz w:val="14"/>
          <w:szCs w:val="14"/>
        </w:rPr>
      </w:pPr>
      <w:r>
        <w:rPr>
          <w:rStyle w:val="FootnoteReference"/>
        </w:rPr>
        <w:footnoteRef/>
      </w:r>
      <w:r>
        <w:t xml:space="preserve"> </w:t>
      </w:r>
      <w:r w:rsidR="00AF43B1">
        <w:rPr>
          <w:rFonts w:ascii="Calibri-Light" w:hAnsi="Calibri-Light"/>
          <w:color w:val="3D464D"/>
          <w:sz w:val="14"/>
          <w:szCs w:val="14"/>
          <w:shd w:val="clear" w:color="auto" w:fill="F7F9FA"/>
        </w:rPr>
        <w:t xml:space="preserve">Code of Federal </w:t>
      </w:r>
      <w:r w:rsidR="00AF43B1" w:rsidRPr="00EB0D0E">
        <w:rPr>
          <w:rFonts w:ascii="Calibri-Light" w:hAnsi="Calibri-Light"/>
          <w:color w:val="3D464D"/>
          <w:sz w:val="14"/>
          <w:szCs w:val="14"/>
          <w:shd w:val="clear" w:color="auto" w:fill="F7F9FA"/>
        </w:rPr>
        <w:t>Regulations at 29 CFR 1910.261</w:t>
      </w:r>
    </w:p>
  </w:footnote>
  <w:footnote w:id="4">
    <w:p w14:paraId="1B08A98A" w14:textId="6321AAAB" w:rsidR="008B2B0D" w:rsidRDefault="008B2B0D">
      <w:pPr>
        <w:pStyle w:val="FootnoteText"/>
      </w:pPr>
      <w:r w:rsidRPr="00EB0D0E">
        <w:rPr>
          <w:rStyle w:val="FootnoteReference"/>
          <w:sz w:val="14"/>
          <w:szCs w:val="14"/>
        </w:rPr>
        <w:footnoteRef/>
      </w:r>
      <w:r w:rsidRPr="00EB0D0E">
        <w:rPr>
          <w:sz w:val="14"/>
          <w:szCs w:val="14"/>
        </w:rPr>
        <w:t xml:space="preserve"> </w:t>
      </w:r>
      <w:r w:rsidR="00EB0D0E" w:rsidRPr="00EB0D0E">
        <w:rPr>
          <w:sz w:val="14"/>
          <w:szCs w:val="14"/>
        </w:rPr>
        <w:t>2016 Residential Compliance Manual</w:t>
      </w:r>
      <w:r w:rsidR="00EB0D0E">
        <w:rPr>
          <w:sz w:val="14"/>
          <w:szCs w:val="14"/>
        </w:rPr>
        <w:t xml:space="preserve">, </w:t>
      </w:r>
      <w:r w:rsidR="008D5A78">
        <w:rPr>
          <w:sz w:val="14"/>
          <w:szCs w:val="14"/>
        </w:rPr>
        <w:t>section 5.3.5</w:t>
      </w:r>
    </w:p>
  </w:footnote>
  <w:footnote w:id="5">
    <w:p w14:paraId="5ED490A3" w14:textId="77777777" w:rsidR="00A37C6F" w:rsidRPr="009F551E" w:rsidRDefault="00A37C6F" w:rsidP="00A37C6F">
      <w:pPr>
        <w:pStyle w:val="FootnoteText"/>
        <w:rPr>
          <w:sz w:val="14"/>
          <w:szCs w:val="14"/>
        </w:rPr>
      </w:pPr>
      <w:r w:rsidRPr="009F551E">
        <w:rPr>
          <w:rStyle w:val="FootnoteReference"/>
          <w:sz w:val="14"/>
          <w:szCs w:val="14"/>
        </w:rPr>
        <w:footnoteRef/>
      </w:r>
      <w:r w:rsidRPr="009F551E">
        <w:rPr>
          <w:sz w:val="14"/>
          <w:szCs w:val="14"/>
        </w:rPr>
        <w:t xml:space="preserve"> DEER-WaterHeater-Calcualtor-v3.3</w:t>
      </w:r>
    </w:p>
  </w:footnote>
  <w:footnote w:id="6">
    <w:p w14:paraId="36EC1C34" w14:textId="77777777" w:rsidR="00414077" w:rsidRPr="009F551E" w:rsidRDefault="00414077" w:rsidP="00414077">
      <w:pPr>
        <w:rPr>
          <w:rFonts w:cs="Calibri Light"/>
          <w:sz w:val="14"/>
          <w:szCs w:val="14"/>
        </w:rPr>
      </w:pPr>
      <w:r w:rsidRPr="009F551E">
        <w:rPr>
          <w:rStyle w:val="FootnoteReference"/>
          <w:sz w:val="14"/>
          <w:szCs w:val="14"/>
        </w:rPr>
        <w:footnoteRef/>
      </w:r>
      <w:r w:rsidRPr="009F551E">
        <w:rPr>
          <w:sz w:val="14"/>
          <w:szCs w:val="14"/>
        </w:rPr>
        <w:t xml:space="preserve"> </w:t>
      </w:r>
      <w:r w:rsidRPr="009F551E">
        <w:rPr>
          <w:rFonts w:cs="Calibri Light"/>
          <w:sz w:val="14"/>
          <w:szCs w:val="14"/>
        </w:rPr>
        <w:t xml:space="preserve">SWWH012-01, </w:t>
      </w:r>
      <w:r w:rsidRPr="009F551E">
        <w:rPr>
          <w:rFonts w:cs="Calibri Light"/>
          <w:bCs/>
          <w:color w:val="3D464D"/>
          <w:sz w:val="14"/>
          <w:szCs w:val="14"/>
          <w:shd w:val="clear" w:color="auto" w:fill="FFFFFF"/>
        </w:rPr>
        <w:t>Storage Water Heater, Residential</w:t>
      </w:r>
    </w:p>
  </w:footnote>
  <w:footnote w:id="7">
    <w:p w14:paraId="41C46931" w14:textId="04B29919" w:rsidR="00E54532" w:rsidRPr="009F551E" w:rsidRDefault="00E54532">
      <w:pPr>
        <w:pStyle w:val="FootnoteText"/>
        <w:rPr>
          <w:sz w:val="14"/>
          <w:szCs w:val="14"/>
        </w:rPr>
      </w:pPr>
      <w:r>
        <w:rPr>
          <w:rStyle w:val="FootnoteReference"/>
        </w:rPr>
        <w:footnoteRef/>
      </w:r>
      <w:r>
        <w:t xml:space="preserve"> </w:t>
      </w:r>
      <w:r w:rsidR="00653C44" w:rsidRPr="009F551E">
        <w:rPr>
          <w:sz w:val="14"/>
          <w:szCs w:val="14"/>
        </w:rPr>
        <w:t>Imcoa_SS_WSS_Sheet_and_Roll.Sub.EN.US.2019.pdf</w:t>
      </w:r>
    </w:p>
  </w:footnote>
  <w:footnote w:id="8">
    <w:p w14:paraId="5111F952" w14:textId="77777777" w:rsidR="008B2B0D" w:rsidRPr="009F551E" w:rsidRDefault="008B2B0D" w:rsidP="00BC5A43">
      <w:pPr>
        <w:pStyle w:val="FootnoteText"/>
        <w:rPr>
          <w:sz w:val="14"/>
          <w:szCs w:val="14"/>
        </w:rPr>
      </w:pPr>
      <w:r w:rsidRPr="009F551E">
        <w:rPr>
          <w:rStyle w:val="FootnoteReference"/>
          <w:sz w:val="14"/>
          <w:szCs w:val="14"/>
        </w:rPr>
        <w:footnoteRef/>
      </w:r>
      <w:r w:rsidRPr="009F551E">
        <w:rPr>
          <w:sz w:val="14"/>
          <w:szCs w:val="14"/>
        </w:rPr>
        <w:t xml:space="preserve"> California Public Utilities Commission (CPUC), Energy Division. 2013. </w:t>
      </w:r>
      <w:r w:rsidRPr="009F551E">
        <w:rPr>
          <w:i/>
          <w:sz w:val="14"/>
          <w:szCs w:val="14"/>
        </w:rPr>
        <w:t>Energy Efficiency Policy Manual Version 5</w:t>
      </w:r>
      <w:r w:rsidRPr="009F551E">
        <w:rPr>
          <w:sz w:val="14"/>
          <w:szCs w:val="14"/>
        </w:rPr>
        <w:t>. Page 32.</w:t>
      </w:r>
    </w:p>
  </w:footnote>
  <w:footnote w:id="9">
    <w:p w14:paraId="39968C91" w14:textId="77777777" w:rsidR="008B2B0D" w:rsidRPr="009F551E" w:rsidRDefault="008B2B0D" w:rsidP="00BC5A43">
      <w:pPr>
        <w:pStyle w:val="FootnoteText"/>
        <w:rPr>
          <w:sz w:val="14"/>
          <w:szCs w:val="14"/>
        </w:rPr>
      </w:pPr>
      <w:r w:rsidRPr="009F551E">
        <w:rPr>
          <w:rStyle w:val="FootnoteReference"/>
          <w:sz w:val="14"/>
          <w:szCs w:val="14"/>
        </w:rPr>
        <w:footnoteRef/>
      </w:r>
      <w:r w:rsidRPr="009F551E">
        <w:rPr>
          <w:sz w:val="14"/>
          <w:szCs w:val="14"/>
        </w:rPr>
        <w:t xml:space="preserve"> </w:t>
      </w:r>
      <w:r w:rsidRPr="009F551E">
        <w:rPr>
          <w:rFonts w:eastAsia="Times New Roman" w:cs="Times New Roman"/>
          <w:color w:val="000000"/>
          <w:sz w:val="14"/>
          <w:szCs w:val="14"/>
        </w:rPr>
        <w:t xml:space="preserve">KEMA, Inc. 2008. "Summary of EUL-RUL Analysis for the April 2008 Update to DEER." </w:t>
      </w:r>
      <w:r w:rsidRPr="009F551E">
        <w:rPr>
          <w:rFonts w:eastAsia="Times New Roman" w:cs="Times New Roman"/>
          <w:sz w:val="14"/>
          <w:szCs w:val="14"/>
        </w:rPr>
        <w:t xml:space="preserve">Memorandum submitted to </w:t>
      </w:r>
      <w:proofErr w:type="spellStart"/>
      <w:r w:rsidRPr="009F551E">
        <w:rPr>
          <w:rFonts w:eastAsia="Times New Roman" w:cs="Times New Roman"/>
          <w:sz w:val="14"/>
          <w:szCs w:val="14"/>
        </w:rPr>
        <w:t>Itron</w:t>
      </w:r>
      <w:proofErr w:type="spellEnd"/>
      <w:r w:rsidRPr="009F551E">
        <w:rPr>
          <w:rFonts w:eastAsia="Times New Roman" w:cs="Times New Roman"/>
          <w:sz w:val="14"/>
          <w:szCs w:val="14"/>
        </w:rPr>
        <w:t>, Inc.</w:t>
      </w:r>
    </w:p>
  </w:footnote>
  <w:footnote w:id="10">
    <w:p w14:paraId="5F9B5EFB" w14:textId="77777777" w:rsidR="008B2B0D" w:rsidRDefault="008B2B0D" w:rsidP="00BC5A43">
      <w:pPr>
        <w:pStyle w:val="FootnoteText"/>
      </w:pPr>
      <w:r w:rsidRPr="009F551E">
        <w:rPr>
          <w:rStyle w:val="FootnoteReference"/>
          <w:sz w:val="14"/>
          <w:szCs w:val="14"/>
        </w:rPr>
        <w:footnoteRef/>
      </w:r>
      <w:r w:rsidRPr="009F551E">
        <w:rPr>
          <w:sz w:val="14"/>
          <w:szCs w:val="14"/>
        </w:rPr>
        <w:t xml:space="preserve"> California Public Utilities Commission (CPUC). 2016. Resolution E-4807. December 16. </w:t>
      </w:r>
      <w:r w:rsidRPr="009F551E">
        <w:rPr>
          <w:rStyle w:val="eTRMFootnoteTextChar"/>
          <w:sz w:val="14"/>
          <w:szCs w:val="14"/>
        </w:rPr>
        <w:t>Page 13</w:t>
      </w:r>
      <w:r>
        <w:rPr>
          <w:rStyle w:val="eTRMFootnoteTextChar"/>
        </w:rPr>
        <w:t>.</w:t>
      </w:r>
      <w:r w:rsidRPr="0008447C">
        <w:rPr>
          <w:rStyle w:val="eTRMFootnoteTextCha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8B2B0D" w:rsidRPr="000220A0" w:rsidRDefault="008B2B0D"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8B2B0D" w:rsidRDefault="008B2B0D">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8B2B0D" w:rsidRDefault="008B2B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8B2B0D" w:rsidRDefault="008B2B0D" w:rsidP="00BD221D">
    <w:pPr>
      <w:jc w:val="center"/>
    </w:pPr>
  </w:p>
  <w:p w14:paraId="342310D5" w14:textId="5BACBCD8" w:rsidR="008B2B0D" w:rsidRDefault="008B2B0D"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36414F94" w:rsidR="008B2B0D" w:rsidRPr="00C503EE" w:rsidRDefault="008B2B0D" w:rsidP="001D7A57">
    <w:pPr>
      <w:pStyle w:val="Header"/>
    </w:pPr>
    <w:r>
      <w:rPr>
        <w:rFonts w:ascii="Calibri Light" w:hAnsi="Calibri Light"/>
      </w:rPr>
      <w:t xml:space="preserve">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cs="Calibri Light"/>
        <w:b/>
      </w:rPr>
      <w:t xml:space="preserve">Measure Name </w:t>
    </w:r>
  </w:p>
  <w:p w14:paraId="2AC97B25" w14:textId="77777777" w:rsidR="008B2B0D" w:rsidRDefault="008B2B0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8B2B0D" w:rsidRDefault="008B2B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005014"/>
    <w:multiLevelType w:val="hybridMultilevel"/>
    <w:tmpl w:val="9914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EC6CFB"/>
    <w:multiLevelType w:val="hybridMultilevel"/>
    <w:tmpl w:val="3EAA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3C6475D8"/>
    <w:multiLevelType w:val="hybridMultilevel"/>
    <w:tmpl w:val="3C202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70D9"/>
    <w:multiLevelType w:val="hybridMultilevel"/>
    <w:tmpl w:val="A5E4973A"/>
    <w:lvl w:ilvl="0" w:tplc="EFD441C0">
      <w:start w:val="1"/>
      <w:numFmt w:val="decimal"/>
      <w:lvlText w:val="%1."/>
      <w:lvlJc w:val="left"/>
      <w:pPr>
        <w:ind w:left="720" w:hanging="360"/>
      </w:pPr>
      <w:rPr>
        <w:rFonts w:ascii="Calibri Light" w:hAnsi="Calibri Light" w:cs="Calibri Light"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C65A57"/>
    <w:multiLevelType w:val="hybridMultilevel"/>
    <w:tmpl w:val="14380C3C"/>
    <w:lvl w:ilvl="0" w:tplc="7C4280F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71406B"/>
    <w:multiLevelType w:val="hybridMultilevel"/>
    <w:tmpl w:val="24E82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7" w15:restartNumberingAfterBreak="0">
    <w:nsid w:val="5EC450D3"/>
    <w:multiLevelType w:val="hybridMultilevel"/>
    <w:tmpl w:val="B61839B0"/>
    <w:lvl w:ilvl="0" w:tplc="D5FA817A">
      <w:numFmt w:val="bullet"/>
      <w:lvlText w:val=""/>
      <w:lvlJc w:val="left"/>
      <w:pPr>
        <w:ind w:left="720" w:hanging="360"/>
      </w:pPr>
      <w:rPr>
        <w:rFonts w:ascii="Calibri Light" w:eastAsia="SymbolMT"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D33B42"/>
    <w:multiLevelType w:val="hybridMultilevel"/>
    <w:tmpl w:val="2D8E0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2"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9"/>
  </w:num>
  <w:num w:numId="2">
    <w:abstractNumId w:val="21"/>
  </w:num>
  <w:num w:numId="3">
    <w:abstractNumId w:val="23"/>
  </w:num>
  <w:num w:numId="4">
    <w:abstractNumId w:val="23"/>
  </w:num>
  <w:num w:numId="5">
    <w:abstractNumId w:val="16"/>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5"/>
  </w:num>
  <w:num w:numId="8">
    <w:abstractNumId w:val="20"/>
  </w:num>
  <w:num w:numId="9">
    <w:abstractNumId w:val="0"/>
  </w:num>
  <w:num w:numId="10">
    <w:abstractNumId w:val="22"/>
  </w:num>
  <w:num w:numId="11">
    <w:abstractNumId w:val="6"/>
  </w:num>
  <w:num w:numId="12">
    <w:abstractNumId w:val="2"/>
  </w:num>
  <w:num w:numId="13">
    <w:abstractNumId w:val="18"/>
  </w:num>
  <w:num w:numId="14">
    <w:abstractNumId w:val="14"/>
  </w:num>
  <w:num w:numId="15">
    <w:abstractNumId w:val="3"/>
  </w:num>
  <w:num w:numId="16">
    <w:abstractNumId w:val="12"/>
  </w:num>
  <w:num w:numId="17">
    <w:abstractNumId w:val="15"/>
  </w:num>
  <w:num w:numId="18">
    <w:abstractNumId w:val="11"/>
  </w:num>
  <w:num w:numId="19">
    <w:abstractNumId w:val="10"/>
  </w:num>
  <w:num w:numId="20">
    <w:abstractNumId w:val="19"/>
  </w:num>
  <w:num w:numId="21">
    <w:abstractNumId w:val="7"/>
  </w:num>
  <w:num w:numId="22">
    <w:abstractNumId w:val="17"/>
  </w:num>
  <w:num w:numId="2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521D"/>
    <w:rsid w:val="00005B06"/>
    <w:rsid w:val="000063B0"/>
    <w:rsid w:val="00007D07"/>
    <w:rsid w:val="000110D9"/>
    <w:rsid w:val="000111AF"/>
    <w:rsid w:val="00016928"/>
    <w:rsid w:val="00017097"/>
    <w:rsid w:val="000220A0"/>
    <w:rsid w:val="000229F1"/>
    <w:rsid w:val="000232D7"/>
    <w:rsid w:val="0002389A"/>
    <w:rsid w:val="00026335"/>
    <w:rsid w:val="00026D58"/>
    <w:rsid w:val="000302DF"/>
    <w:rsid w:val="00031184"/>
    <w:rsid w:val="00035718"/>
    <w:rsid w:val="00036EFF"/>
    <w:rsid w:val="00037A06"/>
    <w:rsid w:val="000413F3"/>
    <w:rsid w:val="000436D7"/>
    <w:rsid w:val="00046BB0"/>
    <w:rsid w:val="00047E10"/>
    <w:rsid w:val="00051561"/>
    <w:rsid w:val="00051DBB"/>
    <w:rsid w:val="00052C95"/>
    <w:rsid w:val="000530E4"/>
    <w:rsid w:val="000540D7"/>
    <w:rsid w:val="00055537"/>
    <w:rsid w:val="0005587A"/>
    <w:rsid w:val="0005662E"/>
    <w:rsid w:val="00061D34"/>
    <w:rsid w:val="000621A8"/>
    <w:rsid w:val="000624F7"/>
    <w:rsid w:val="00063048"/>
    <w:rsid w:val="00065E54"/>
    <w:rsid w:val="000672E5"/>
    <w:rsid w:val="000708EE"/>
    <w:rsid w:val="00074E3E"/>
    <w:rsid w:val="000767E9"/>
    <w:rsid w:val="0008108C"/>
    <w:rsid w:val="000834AF"/>
    <w:rsid w:val="00083A78"/>
    <w:rsid w:val="000841AA"/>
    <w:rsid w:val="00084EDF"/>
    <w:rsid w:val="00085300"/>
    <w:rsid w:val="00085726"/>
    <w:rsid w:val="00087FD4"/>
    <w:rsid w:val="00090B28"/>
    <w:rsid w:val="00090BBF"/>
    <w:rsid w:val="00090D14"/>
    <w:rsid w:val="000910B7"/>
    <w:rsid w:val="00091581"/>
    <w:rsid w:val="00094517"/>
    <w:rsid w:val="00094B2B"/>
    <w:rsid w:val="00096485"/>
    <w:rsid w:val="000978C8"/>
    <w:rsid w:val="000A270E"/>
    <w:rsid w:val="000A4D3A"/>
    <w:rsid w:val="000A62EF"/>
    <w:rsid w:val="000A66B7"/>
    <w:rsid w:val="000A7058"/>
    <w:rsid w:val="000B139B"/>
    <w:rsid w:val="000B30B6"/>
    <w:rsid w:val="000B6004"/>
    <w:rsid w:val="000B75AC"/>
    <w:rsid w:val="000B7F33"/>
    <w:rsid w:val="000C2D4B"/>
    <w:rsid w:val="000C36B4"/>
    <w:rsid w:val="000C5BA6"/>
    <w:rsid w:val="000C72C1"/>
    <w:rsid w:val="000C7B77"/>
    <w:rsid w:val="000D791F"/>
    <w:rsid w:val="000E044A"/>
    <w:rsid w:val="000E05FE"/>
    <w:rsid w:val="000E30CF"/>
    <w:rsid w:val="000E4EB1"/>
    <w:rsid w:val="000F1833"/>
    <w:rsid w:val="000F5D2C"/>
    <w:rsid w:val="00103399"/>
    <w:rsid w:val="0010471F"/>
    <w:rsid w:val="00104933"/>
    <w:rsid w:val="00111A53"/>
    <w:rsid w:val="0011498C"/>
    <w:rsid w:val="00120592"/>
    <w:rsid w:val="001217DF"/>
    <w:rsid w:val="0012187D"/>
    <w:rsid w:val="00124BFE"/>
    <w:rsid w:val="00126809"/>
    <w:rsid w:val="00126B25"/>
    <w:rsid w:val="00131C5A"/>
    <w:rsid w:val="00131FA0"/>
    <w:rsid w:val="00132E1A"/>
    <w:rsid w:val="00142D3C"/>
    <w:rsid w:val="00143B83"/>
    <w:rsid w:val="00144980"/>
    <w:rsid w:val="001451AB"/>
    <w:rsid w:val="001474EA"/>
    <w:rsid w:val="00151553"/>
    <w:rsid w:val="00151B9F"/>
    <w:rsid w:val="00152749"/>
    <w:rsid w:val="00153BB7"/>
    <w:rsid w:val="00154391"/>
    <w:rsid w:val="001564FC"/>
    <w:rsid w:val="00157985"/>
    <w:rsid w:val="00161726"/>
    <w:rsid w:val="00161DF1"/>
    <w:rsid w:val="001648F6"/>
    <w:rsid w:val="00164D8D"/>
    <w:rsid w:val="0016761F"/>
    <w:rsid w:val="00171BB8"/>
    <w:rsid w:val="00174707"/>
    <w:rsid w:val="0017719D"/>
    <w:rsid w:val="00177EB6"/>
    <w:rsid w:val="00180DAD"/>
    <w:rsid w:val="00181672"/>
    <w:rsid w:val="00181E01"/>
    <w:rsid w:val="00186233"/>
    <w:rsid w:val="00190874"/>
    <w:rsid w:val="00192425"/>
    <w:rsid w:val="001944A0"/>
    <w:rsid w:val="001944B4"/>
    <w:rsid w:val="00195B03"/>
    <w:rsid w:val="00196649"/>
    <w:rsid w:val="001A11C7"/>
    <w:rsid w:val="001A4BE1"/>
    <w:rsid w:val="001A7A21"/>
    <w:rsid w:val="001B0430"/>
    <w:rsid w:val="001B0D29"/>
    <w:rsid w:val="001B1D23"/>
    <w:rsid w:val="001B426F"/>
    <w:rsid w:val="001C2ACE"/>
    <w:rsid w:val="001C3617"/>
    <w:rsid w:val="001C5EB2"/>
    <w:rsid w:val="001C6C9B"/>
    <w:rsid w:val="001C7134"/>
    <w:rsid w:val="001D3001"/>
    <w:rsid w:val="001D5580"/>
    <w:rsid w:val="001D656F"/>
    <w:rsid w:val="001D65A6"/>
    <w:rsid w:val="001D7A57"/>
    <w:rsid w:val="001D7DE2"/>
    <w:rsid w:val="001E19A3"/>
    <w:rsid w:val="001E4C3F"/>
    <w:rsid w:val="001E6273"/>
    <w:rsid w:val="001F00E9"/>
    <w:rsid w:val="001F2842"/>
    <w:rsid w:val="001F2B0C"/>
    <w:rsid w:val="001F6B1A"/>
    <w:rsid w:val="001F735E"/>
    <w:rsid w:val="002005A8"/>
    <w:rsid w:val="002006B6"/>
    <w:rsid w:val="00205BAF"/>
    <w:rsid w:val="00207F85"/>
    <w:rsid w:val="002119B8"/>
    <w:rsid w:val="0021226A"/>
    <w:rsid w:val="0021230E"/>
    <w:rsid w:val="0021240C"/>
    <w:rsid w:val="00221708"/>
    <w:rsid w:val="00224A16"/>
    <w:rsid w:val="00225142"/>
    <w:rsid w:val="00226694"/>
    <w:rsid w:val="002276A6"/>
    <w:rsid w:val="00227BDD"/>
    <w:rsid w:val="002318A4"/>
    <w:rsid w:val="0023227F"/>
    <w:rsid w:val="002335FF"/>
    <w:rsid w:val="00233D87"/>
    <w:rsid w:val="0023666C"/>
    <w:rsid w:val="00236692"/>
    <w:rsid w:val="00236E0A"/>
    <w:rsid w:val="00237964"/>
    <w:rsid w:val="002434DE"/>
    <w:rsid w:val="00245AFF"/>
    <w:rsid w:val="0024628D"/>
    <w:rsid w:val="0024690E"/>
    <w:rsid w:val="00251ABC"/>
    <w:rsid w:val="00252039"/>
    <w:rsid w:val="002524CF"/>
    <w:rsid w:val="002529C9"/>
    <w:rsid w:val="00253125"/>
    <w:rsid w:val="00256400"/>
    <w:rsid w:val="00260731"/>
    <w:rsid w:val="00260D84"/>
    <w:rsid w:val="0026110B"/>
    <w:rsid w:val="00264ADD"/>
    <w:rsid w:val="002652D2"/>
    <w:rsid w:val="002709D1"/>
    <w:rsid w:val="00270C89"/>
    <w:rsid w:val="00271B18"/>
    <w:rsid w:val="0027607E"/>
    <w:rsid w:val="00276F9B"/>
    <w:rsid w:val="002942B0"/>
    <w:rsid w:val="0029555D"/>
    <w:rsid w:val="00295F7D"/>
    <w:rsid w:val="0029757F"/>
    <w:rsid w:val="0029781E"/>
    <w:rsid w:val="002A1953"/>
    <w:rsid w:val="002A2471"/>
    <w:rsid w:val="002A2A94"/>
    <w:rsid w:val="002A6CEC"/>
    <w:rsid w:val="002B107C"/>
    <w:rsid w:val="002B2C97"/>
    <w:rsid w:val="002B3BF4"/>
    <w:rsid w:val="002B6DED"/>
    <w:rsid w:val="002B6F2A"/>
    <w:rsid w:val="002C03A3"/>
    <w:rsid w:val="002C06FC"/>
    <w:rsid w:val="002C1117"/>
    <w:rsid w:val="002C67DF"/>
    <w:rsid w:val="002D0036"/>
    <w:rsid w:val="002D17CE"/>
    <w:rsid w:val="002D1A29"/>
    <w:rsid w:val="002D29F8"/>
    <w:rsid w:val="002D40EE"/>
    <w:rsid w:val="002D4993"/>
    <w:rsid w:val="002D50E9"/>
    <w:rsid w:val="002D5CFA"/>
    <w:rsid w:val="002E1F22"/>
    <w:rsid w:val="002E5874"/>
    <w:rsid w:val="002E714C"/>
    <w:rsid w:val="002F036B"/>
    <w:rsid w:val="002F4F2A"/>
    <w:rsid w:val="00301C01"/>
    <w:rsid w:val="00302A82"/>
    <w:rsid w:val="00302F0E"/>
    <w:rsid w:val="00304892"/>
    <w:rsid w:val="003103FB"/>
    <w:rsid w:val="00313E1D"/>
    <w:rsid w:val="00315810"/>
    <w:rsid w:val="0032373D"/>
    <w:rsid w:val="003247FA"/>
    <w:rsid w:val="003309DA"/>
    <w:rsid w:val="003326EC"/>
    <w:rsid w:val="0033322B"/>
    <w:rsid w:val="00333809"/>
    <w:rsid w:val="00336209"/>
    <w:rsid w:val="00336313"/>
    <w:rsid w:val="00337924"/>
    <w:rsid w:val="00337D1D"/>
    <w:rsid w:val="00337FA7"/>
    <w:rsid w:val="003473E6"/>
    <w:rsid w:val="00347A7C"/>
    <w:rsid w:val="0035060F"/>
    <w:rsid w:val="00352864"/>
    <w:rsid w:val="00355650"/>
    <w:rsid w:val="00356A2A"/>
    <w:rsid w:val="00361280"/>
    <w:rsid w:val="00362F9E"/>
    <w:rsid w:val="00363BE8"/>
    <w:rsid w:val="003643D6"/>
    <w:rsid w:val="00370B5D"/>
    <w:rsid w:val="00372F61"/>
    <w:rsid w:val="00385069"/>
    <w:rsid w:val="00386A29"/>
    <w:rsid w:val="00387072"/>
    <w:rsid w:val="00387C70"/>
    <w:rsid w:val="00390C3B"/>
    <w:rsid w:val="00392097"/>
    <w:rsid w:val="00392684"/>
    <w:rsid w:val="003B7610"/>
    <w:rsid w:val="003C2CC3"/>
    <w:rsid w:val="003C3614"/>
    <w:rsid w:val="003C7721"/>
    <w:rsid w:val="003D1FB8"/>
    <w:rsid w:val="003D623C"/>
    <w:rsid w:val="003D7104"/>
    <w:rsid w:val="003E1187"/>
    <w:rsid w:val="003E2013"/>
    <w:rsid w:val="003E50CF"/>
    <w:rsid w:val="003E5605"/>
    <w:rsid w:val="003E7BC6"/>
    <w:rsid w:val="003F02C7"/>
    <w:rsid w:val="003F0435"/>
    <w:rsid w:val="003F21D2"/>
    <w:rsid w:val="003F269E"/>
    <w:rsid w:val="003F4964"/>
    <w:rsid w:val="003F65F3"/>
    <w:rsid w:val="003F6C0E"/>
    <w:rsid w:val="00401C43"/>
    <w:rsid w:val="004046FF"/>
    <w:rsid w:val="00405C0A"/>
    <w:rsid w:val="004073C5"/>
    <w:rsid w:val="00410790"/>
    <w:rsid w:val="00411EC7"/>
    <w:rsid w:val="00411EF4"/>
    <w:rsid w:val="004133BB"/>
    <w:rsid w:val="00414077"/>
    <w:rsid w:val="004142EF"/>
    <w:rsid w:val="00420958"/>
    <w:rsid w:val="00420EF1"/>
    <w:rsid w:val="00421920"/>
    <w:rsid w:val="00423D33"/>
    <w:rsid w:val="004249A0"/>
    <w:rsid w:val="00425219"/>
    <w:rsid w:val="00425FAA"/>
    <w:rsid w:val="0043155E"/>
    <w:rsid w:val="00432D49"/>
    <w:rsid w:val="004339EA"/>
    <w:rsid w:val="00433E8F"/>
    <w:rsid w:val="00434145"/>
    <w:rsid w:val="00436CBD"/>
    <w:rsid w:val="004429B9"/>
    <w:rsid w:val="00443F6E"/>
    <w:rsid w:val="0044577B"/>
    <w:rsid w:val="00451588"/>
    <w:rsid w:val="004517F1"/>
    <w:rsid w:val="00451FF6"/>
    <w:rsid w:val="004556DF"/>
    <w:rsid w:val="00461AE3"/>
    <w:rsid w:val="00462BB6"/>
    <w:rsid w:val="00462F22"/>
    <w:rsid w:val="00464A63"/>
    <w:rsid w:val="004650D7"/>
    <w:rsid w:val="00466DD6"/>
    <w:rsid w:val="00470670"/>
    <w:rsid w:val="00472286"/>
    <w:rsid w:val="00475510"/>
    <w:rsid w:val="00475A47"/>
    <w:rsid w:val="00475D57"/>
    <w:rsid w:val="00475F03"/>
    <w:rsid w:val="00484536"/>
    <w:rsid w:val="00485834"/>
    <w:rsid w:val="00486585"/>
    <w:rsid w:val="0049615E"/>
    <w:rsid w:val="0049638E"/>
    <w:rsid w:val="00497289"/>
    <w:rsid w:val="00497A93"/>
    <w:rsid w:val="004A06AE"/>
    <w:rsid w:val="004A2CEE"/>
    <w:rsid w:val="004A510D"/>
    <w:rsid w:val="004B06E3"/>
    <w:rsid w:val="004B1E23"/>
    <w:rsid w:val="004B35DC"/>
    <w:rsid w:val="004B4DDE"/>
    <w:rsid w:val="004B5888"/>
    <w:rsid w:val="004B6780"/>
    <w:rsid w:val="004B7CAA"/>
    <w:rsid w:val="004C1B1C"/>
    <w:rsid w:val="004C2A36"/>
    <w:rsid w:val="004C3663"/>
    <w:rsid w:val="004C3EB7"/>
    <w:rsid w:val="004C57EC"/>
    <w:rsid w:val="004C69F2"/>
    <w:rsid w:val="004D0C20"/>
    <w:rsid w:val="004D1461"/>
    <w:rsid w:val="004D3A71"/>
    <w:rsid w:val="004D3CE4"/>
    <w:rsid w:val="004D7E51"/>
    <w:rsid w:val="004E04EE"/>
    <w:rsid w:val="004E1B37"/>
    <w:rsid w:val="004E2704"/>
    <w:rsid w:val="004E3F72"/>
    <w:rsid w:val="004E4D01"/>
    <w:rsid w:val="004E574C"/>
    <w:rsid w:val="004F705B"/>
    <w:rsid w:val="00500964"/>
    <w:rsid w:val="00500C66"/>
    <w:rsid w:val="00501AFC"/>
    <w:rsid w:val="005044CA"/>
    <w:rsid w:val="00505B94"/>
    <w:rsid w:val="00507DDD"/>
    <w:rsid w:val="00511305"/>
    <w:rsid w:val="005130EC"/>
    <w:rsid w:val="00513588"/>
    <w:rsid w:val="005146E6"/>
    <w:rsid w:val="00515479"/>
    <w:rsid w:val="00520182"/>
    <w:rsid w:val="00523F9B"/>
    <w:rsid w:val="005247E0"/>
    <w:rsid w:val="005249BC"/>
    <w:rsid w:val="00526670"/>
    <w:rsid w:val="00526F7F"/>
    <w:rsid w:val="00534428"/>
    <w:rsid w:val="00535659"/>
    <w:rsid w:val="00535A42"/>
    <w:rsid w:val="0053748E"/>
    <w:rsid w:val="005449C6"/>
    <w:rsid w:val="00555F24"/>
    <w:rsid w:val="00561400"/>
    <w:rsid w:val="0056177B"/>
    <w:rsid w:val="005624D9"/>
    <w:rsid w:val="00565D08"/>
    <w:rsid w:val="00566B42"/>
    <w:rsid w:val="005710BF"/>
    <w:rsid w:val="0057165C"/>
    <w:rsid w:val="00571D95"/>
    <w:rsid w:val="005722C6"/>
    <w:rsid w:val="00577D2C"/>
    <w:rsid w:val="00580FF8"/>
    <w:rsid w:val="005840D0"/>
    <w:rsid w:val="00585C8D"/>
    <w:rsid w:val="005862CC"/>
    <w:rsid w:val="005911FE"/>
    <w:rsid w:val="0059312F"/>
    <w:rsid w:val="00593220"/>
    <w:rsid w:val="0059380C"/>
    <w:rsid w:val="00594142"/>
    <w:rsid w:val="00595533"/>
    <w:rsid w:val="00595758"/>
    <w:rsid w:val="00596081"/>
    <w:rsid w:val="005A3943"/>
    <w:rsid w:val="005A4C65"/>
    <w:rsid w:val="005A51E6"/>
    <w:rsid w:val="005A632E"/>
    <w:rsid w:val="005A74DC"/>
    <w:rsid w:val="005B329B"/>
    <w:rsid w:val="005B45FF"/>
    <w:rsid w:val="005B7418"/>
    <w:rsid w:val="005C03A9"/>
    <w:rsid w:val="005C1D6E"/>
    <w:rsid w:val="005C2BFC"/>
    <w:rsid w:val="005C324B"/>
    <w:rsid w:val="005C36B6"/>
    <w:rsid w:val="005C43E2"/>
    <w:rsid w:val="005C454A"/>
    <w:rsid w:val="005C6315"/>
    <w:rsid w:val="005C74C9"/>
    <w:rsid w:val="005C7B6B"/>
    <w:rsid w:val="005D1B14"/>
    <w:rsid w:val="005D257B"/>
    <w:rsid w:val="005E1D5C"/>
    <w:rsid w:val="005E25DC"/>
    <w:rsid w:val="005E52AE"/>
    <w:rsid w:val="005E5607"/>
    <w:rsid w:val="005E567C"/>
    <w:rsid w:val="005E59E3"/>
    <w:rsid w:val="005F10A7"/>
    <w:rsid w:val="005F505E"/>
    <w:rsid w:val="005F745C"/>
    <w:rsid w:val="006007C4"/>
    <w:rsid w:val="00601D5A"/>
    <w:rsid w:val="00602976"/>
    <w:rsid w:val="0060388D"/>
    <w:rsid w:val="00604231"/>
    <w:rsid w:val="006068F3"/>
    <w:rsid w:val="00610050"/>
    <w:rsid w:val="00610C2F"/>
    <w:rsid w:val="00610C76"/>
    <w:rsid w:val="006151A1"/>
    <w:rsid w:val="006161A6"/>
    <w:rsid w:val="0062187C"/>
    <w:rsid w:val="00621FDB"/>
    <w:rsid w:val="006239BC"/>
    <w:rsid w:val="00625805"/>
    <w:rsid w:val="00627AC4"/>
    <w:rsid w:val="00631F87"/>
    <w:rsid w:val="0063253B"/>
    <w:rsid w:val="006363C8"/>
    <w:rsid w:val="00637AB8"/>
    <w:rsid w:val="0064370D"/>
    <w:rsid w:val="00643771"/>
    <w:rsid w:val="00644946"/>
    <w:rsid w:val="00646AB8"/>
    <w:rsid w:val="00647BD9"/>
    <w:rsid w:val="00653C44"/>
    <w:rsid w:val="00654A3E"/>
    <w:rsid w:val="00657C37"/>
    <w:rsid w:val="006624A7"/>
    <w:rsid w:val="0066515F"/>
    <w:rsid w:val="006663E9"/>
    <w:rsid w:val="006668AF"/>
    <w:rsid w:val="00670A7E"/>
    <w:rsid w:val="0067278C"/>
    <w:rsid w:val="00676DAA"/>
    <w:rsid w:val="00686439"/>
    <w:rsid w:val="006938F7"/>
    <w:rsid w:val="006964E6"/>
    <w:rsid w:val="00697A88"/>
    <w:rsid w:val="00697CF1"/>
    <w:rsid w:val="006A15DA"/>
    <w:rsid w:val="006A2B3E"/>
    <w:rsid w:val="006A6051"/>
    <w:rsid w:val="006B2600"/>
    <w:rsid w:val="006B31D9"/>
    <w:rsid w:val="006C0102"/>
    <w:rsid w:val="006C07D4"/>
    <w:rsid w:val="006C41AD"/>
    <w:rsid w:val="006C4A06"/>
    <w:rsid w:val="006D04BD"/>
    <w:rsid w:val="006D1E0D"/>
    <w:rsid w:val="006D2D32"/>
    <w:rsid w:val="006D47EF"/>
    <w:rsid w:val="006D5CFB"/>
    <w:rsid w:val="006D6644"/>
    <w:rsid w:val="006D7180"/>
    <w:rsid w:val="006E2200"/>
    <w:rsid w:val="006E433B"/>
    <w:rsid w:val="006E4C6B"/>
    <w:rsid w:val="006E7899"/>
    <w:rsid w:val="006E7C78"/>
    <w:rsid w:val="006F27F4"/>
    <w:rsid w:val="006F2E23"/>
    <w:rsid w:val="006F4C30"/>
    <w:rsid w:val="006F6B5E"/>
    <w:rsid w:val="006F7024"/>
    <w:rsid w:val="006F7169"/>
    <w:rsid w:val="00703A7C"/>
    <w:rsid w:val="007076DA"/>
    <w:rsid w:val="00707860"/>
    <w:rsid w:val="00713549"/>
    <w:rsid w:val="0071408D"/>
    <w:rsid w:val="00717131"/>
    <w:rsid w:val="00717AA0"/>
    <w:rsid w:val="007207BF"/>
    <w:rsid w:val="007255D6"/>
    <w:rsid w:val="00725CB0"/>
    <w:rsid w:val="00726DBC"/>
    <w:rsid w:val="00731FCD"/>
    <w:rsid w:val="0073517D"/>
    <w:rsid w:val="007367E8"/>
    <w:rsid w:val="0073685C"/>
    <w:rsid w:val="00737EA5"/>
    <w:rsid w:val="007400AE"/>
    <w:rsid w:val="00740489"/>
    <w:rsid w:val="00741F3E"/>
    <w:rsid w:val="00742F88"/>
    <w:rsid w:val="00743AA8"/>
    <w:rsid w:val="00746F15"/>
    <w:rsid w:val="00750840"/>
    <w:rsid w:val="00757617"/>
    <w:rsid w:val="007603C5"/>
    <w:rsid w:val="007614EB"/>
    <w:rsid w:val="0076370E"/>
    <w:rsid w:val="00763AD8"/>
    <w:rsid w:val="00765016"/>
    <w:rsid w:val="00765B10"/>
    <w:rsid w:val="00767EDE"/>
    <w:rsid w:val="0077100C"/>
    <w:rsid w:val="00773BBA"/>
    <w:rsid w:val="00776C39"/>
    <w:rsid w:val="00781D00"/>
    <w:rsid w:val="00783AD0"/>
    <w:rsid w:val="00783AEC"/>
    <w:rsid w:val="00787F5F"/>
    <w:rsid w:val="007900F3"/>
    <w:rsid w:val="00791B69"/>
    <w:rsid w:val="0079498E"/>
    <w:rsid w:val="00796F10"/>
    <w:rsid w:val="007A0F9E"/>
    <w:rsid w:val="007A1D2D"/>
    <w:rsid w:val="007A258C"/>
    <w:rsid w:val="007A6AB5"/>
    <w:rsid w:val="007A6C67"/>
    <w:rsid w:val="007B004B"/>
    <w:rsid w:val="007B14D9"/>
    <w:rsid w:val="007B2931"/>
    <w:rsid w:val="007B2B46"/>
    <w:rsid w:val="007B30F2"/>
    <w:rsid w:val="007B377F"/>
    <w:rsid w:val="007B4274"/>
    <w:rsid w:val="007B443D"/>
    <w:rsid w:val="007B5117"/>
    <w:rsid w:val="007B599D"/>
    <w:rsid w:val="007B5A13"/>
    <w:rsid w:val="007B6650"/>
    <w:rsid w:val="007B6A74"/>
    <w:rsid w:val="007C2DC8"/>
    <w:rsid w:val="007D097E"/>
    <w:rsid w:val="007D230B"/>
    <w:rsid w:val="007D2D80"/>
    <w:rsid w:val="007D3681"/>
    <w:rsid w:val="007D3824"/>
    <w:rsid w:val="007D49A1"/>
    <w:rsid w:val="007D59DD"/>
    <w:rsid w:val="007E1F66"/>
    <w:rsid w:val="007E2CB5"/>
    <w:rsid w:val="007E4C10"/>
    <w:rsid w:val="007E6501"/>
    <w:rsid w:val="007E6C25"/>
    <w:rsid w:val="007F32D7"/>
    <w:rsid w:val="007F4F97"/>
    <w:rsid w:val="007F669E"/>
    <w:rsid w:val="00801632"/>
    <w:rsid w:val="0080520B"/>
    <w:rsid w:val="00807B3E"/>
    <w:rsid w:val="00810D4A"/>
    <w:rsid w:val="00812F82"/>
    <w:rsid w:val="008146FD"/>
    <w:rsid w:val="008163CE"/>
    <w:rsid w:val="00816AAB"/>
    <w:rsid w:val="00820402"/>
    <w:rsid w:val="008243B2"/>
    <w:rsid w:val="00824F08"/>
    <w:rsid w:val="008310DF"/>
    <w:rsid w:val="00831105"/>
    <w:rsid w:val="00834978"/>
    <w:rsid w:val="00835487"/>
    <w:rsid w:val="00840FC2"/>
    <w:rsid w:val="00842770"/>
    <w:rsid w:val="008449DE"/>
    <w:rsid w:val="00844A4B"/>
    <w:rsid w:val="00845DC3"/>
    <w:rsid w:val="008532C0"/>
    <w:rsid w:val="00854676"/>
    <w:rsid w:val="008616DC"/>
    <w:rsid w:val="00865296"/>
    <w:rsid w:val="008666E8"/>
    <w:rsid w:val="00867086"/>
    <w:rsid w:val="00871123"/>
    <w:rsid w:val="00874663"/>
    <w:rsid w:val="00881B95"/>
    <w:rsid w:val="008831CA"/>
    <w:rsid w:val="00886CD2"/>
    <w:rsid w:val="00887FDA"/>
    <w:rsid w:val="0089272A"/>
    <w:rsid w:val="00894890"/>
    <w:rsid w:val="0089608F"/>
    <w:rsid w:val="00897247"/>
    <w:rsid w:val="008A3163"/>
    <w:rsid w:val="008B08F0"/>
    <w:rsid w:val="008B262C"/>
    <w:rsid w:val="008B2B0D"/>
    <w:rsid w:val="008B2BB7"/>
    <w:rsid w:val="008B2DAD"/>
    <w:rsid w:val="008B6FC8"/>
    <w:rsid w:val="008C19E9"/>
    <w:rsid w:val="008C26E9"/>
    <w:rsid w:val="008C3668"/>
    <w:rsid w:val="008C774E"/>
    <w:rsid w:val="008C7D26"/>
    <w:rsid w:val="008D4652"/>
    <w:rsid w:val="008D5A78"/>
    <w:rsid w:val="008D6D9D"/>
    <w:rsid w:val="008E0A04"/>
    <w:rsid w:val="008E7F46"/>
    <w:rsid w:val="008F1691"/>
    <w:rsid w:val="008F22E2"/>
    <w:rsid w:val="008F40EC"/>
    <w:rsid w:val="008F46BC"/>
    <w:rsid w:val="008F5698"/>
    <w:rsid w:val="008F639E"/>
    <w:rsid w:val="00901EF2"/>
    <w:rsid w:val="00903EB6"/>
    <w:rsid w:val="00904906"/>
    <w:rsid w:val="0090589C"/>
    <w:rsid w:val="0090702F"/>
    <w:rsid w:val="009079D0"/>
    <w:rsid w:val="00911C57"/>
    <w:rsid w:val="009129F9"/>
    <w:rsid w:val="00913D0A"/>
    <w:rsid w:val="009148A1"/>
    <w:rsid w:val="00914C43"/>
    <w:rsid w:val="00924972"/>
    <w:rsid w:val="009309D7"/>
    <w:rsid w:val="00932E1E"/>
    <w:rsid w:val="00934068"/>
    <w:rsid w:val="00936348"/>
    <w:rsid w:val="00937854"/>
    <w:rsid w:val="009400F4"/>
    <w:rsid w:val="0094045A"/>
    <w:rsid w:val="00943B84"/>
    <w:rsid w:val="009469E0"/>
    <w:rsid w:val="0095099F"/>
    <w:rsid w:val="00951C4D"/>
    <w:rsid w:val="00952E03"/>
    <w:rsid w:val="0095396E"/>
    <w:rsid w:val="009547E2"/>
    <w:rsid w:val="00956488"/>
    <w:rsid w:val="00956F5F"/>
    <w:rsid w:val="009610DC"/>
    <w:rsid w:val="009669D2"/>
    <w:rsid w:val="0097154F"/>
    <w:rsid w:val="00973555"/>
    <w:rsid w:val="009841B3"/>
    <w:rsid w:val="0098457F"/>
    <w:rsid w:val="00985996"/>
    <w:rsid w:val="00986978"/>
    <w:rsid w:val="00994F74"/>
    <w:rsid w:val="0099563A"/>
    <w:rsid w:val="009A036A"/>
    <w:rsid w:val="009A122A"/>
    <w:rsid w:val="009A13F4"/>
    <w:rsid w:val="009A3B2E"/>
    <w:rsid w:val="009A44BE"/>
    <w:rsid w:val="009B029F"/>
    <w:rsid w:val="009B27F8"/>
    <w:rsid w:val="009B4A8B"/>
    <w:rsid w:val="009B74FB"/>
    <w:rsid w:val="009B7DAF"/>
    <w:rsid w:val="009C0660"/>
    <w:rsid w:val="009C12A7"/>
    <w:rsid w:val="009C2DE3"/>
    <w:rsid w:val="009C31A4"/>
    <w:rsid w:val="009C4845"/>
    <w:rsid w:val="009C7314"/>
    <w:rsid w:val="009D2442"/>
    <w:rsid w:val="009D5D9F"/>
    <w:rsid w:val="009D7F4D"/>
    <w:rsid w:val="009E0FA2"/>
    <w:rsid w:val="009E2244"/>
    <w:rsid w:val="009E2D42"/>
    <w:rsid w:val="009E4AB6"/>
    <w:rsid w:val="009E57DF"/>
    <w:rsid w:val="009F08B0"/>
    <w:rsid w:val="009F551E"/>
    <w:rsid w:val="009F57FD"/>
    <w:rsid w:val="009F7F9F"/>
    <w:rsid w:val="00A01E02"/>
    <w:rsid w:val="00A02E26"/>
    <w:rsid w:val="00A03F5B"/>
    <w:rsid w:val="00A05BA0"/>
    <w:rsid w:val="00A06A43"/>
    <w:rsid w:val="00A075F7"/>
    <w:rsid w:val="00A10C74"/>
    <w:rsid w:val="00A10D63"/>
    <w:rsid w:val="00A159C9"/>
    <w:rsid w:val="00A167FB"/>
    <w:rsid w:val="00A205C6"/>
    <w:rsid w:val="00A21B70"/>
    <w:rsid w:val="00A21D02"/>
    <w:rsid w:val="00A21DDB"/>
    <w:rsid w:val="00A23CF6"/>
    <w:rsid w:val="00A2690C"/>
    <w:rsid w:val="00A2792F"/>
    <w:rsid w:val="00A30970"/>
    <w:rsid w:val="00A315E4"/>
    <w:rsid w:val="00A31BDD"/>
    <w:rsid w:val="00A31D96"/>
    <w:rsid w:val="00A31DC7"/>
    <w:rsid w:val="00A31FEE"/>
    <w:rsid w:val="00A33722"/>
    <w:rsid w:val="00A33C55"/>
    <w:rsid w:val="00A37C6F"/>
    <w:rsid w:val="00A406C3"/>
    <w:rsid w:val="00A42704"/>
    <w:rsid w:val="00A42875"/>
    <w:rsid w:val="00A44DC1"/>
    <w:rsid w:val="00A467DE"/>
    <w:rsid w:val="00A47168"/>
    <w:rsid w:val="00A47A98"/>
    <w:rsid w:val="00A47EE7"/>
    <w:rsid w:val="00A50B43"/>
    <w:rsid w:val="00A51C87"/>
    <w:rsid w:val="00A54197"/>
    <w:rsid w:val="00A61821"/>
    <w:rsid w:val="00A61E3A"/>
    <w:rsid w:val="00A631BA"/>
    <w:rsid w:val="00A65C27"/>
    <w:rsid w:val="00A67322"/>
    <w:rsid w:val="00A675A5"/>
    <w:rsid w:val="00A67CA5"/>
    <w:rsid w:val="00A75CCD"/>
    <w:rsid w:val="00A80506"/>
    <w:rsid w:val="00A806AE"/>
    <w:rsid w:val="00A8118F"/>
    <w:rsid w:val="00A83458"/>
    <w:rsid w:val="00A86C41"/>
    <w:rsid w:val="00A90148"/>
    <w:rsid w:val="00A917F8"/>
    <w:rsid w:val="00A9209D"/>
    <w:rsid w:val="00A94C1B"/>
    <w:rsid w:val="00A979B8"/>
    <w:rsid w:val="00AA0D8C"/>
    <w:rsid w:val="00AA25BC"/>
    <w:rsid w:val="00AA2841"/>
    <w:rsid w:val="00AA3077"/>
    <w:rsid w:val="00AA3E2A"/>
    <w:rsid w:val="00AA46AF"/>
    <w:rsid w:val="00AA5AE7"/>
    <w:rsid w:val="00AA6CCE"/>
    <w:rsid w:val="00AB2477"/>
    <w:rsid w:val="00AB4E9E"/>
    <w:rsid w:val="00AB6C99"/>
    <w:rsid w:val="00AB71BC"/>
    <w:rsid w:val="00AC11D5"/>
    <w:rsid w:val="00AC15E5"/>
    <w:rsid w:val="00AC22BB"/>
    <w:rsid w:val="00AC4080"/>
    <w:rsid w:val="00AC5A6D"/>
    <w:rsid w:val="00AC5D73"/>
    <w:rsid w:val="00AC70C7"/>
    <w:rsid w:val="00AC73AD"/>
    <w:rsid w:val="00AC7BED"/>
    <w:rsid w:val="00AD067D"/>
    <w:rsid w:val="00AD3212"/>
    <w:rsid w:val="00AD5FFD"/>
    <w:rsid w:val="00AD705A"/>
    <w:rsid w:val="00AD78F9"/>
    <w:rsid w:val="00AE008D"/>
    <w:rsid w:val="00AE30E0"/>
    <w:rsid w:val="00AE346F"/>
    <w:rsid w:val="00AE3AD5"/>
    <w:rsid w:val="00AF2329"/>
    <w:rsid w:val="00AF3660"/>
    <w:rsid w:val="00AF3F16"/>
    <w:rsid w:val="00AF43B1"/>
    <w:rsid w:val="00AF7A20"/>
    <w:rsid w:val="00B01312"/>
    <w:rsid w:val="00B02D98"/>
    <w:rsid w:val="00B051CC"/>
    <w:rsid w:val="00B06685"/>
    <w:rsid w:val="00B11FAE"/>
    <w:rsid w:val="00B14FF0"/>
    <w:rsid w:val="00B15D02"/>
    <w:rsid w:val="00B15D2F"/>
    <w:rsid w:val="00B16399"/>
    <w:rsid w:val="00B1760F"/>
    <w:rsid w:val="00B1771E"/>
    <w:rsid w:val="00B2586D"/>
    <w:rsid w:val="00B25AE4"/>
    <w:rsid w:val="00B265C9"/>
    <w:rsid w:val="00B26909"/>
    <w:rsid w:val="00B27664"/>
    <w:rsid w:val="00B31169"/>
    <w:rsid w:val="00B31828"/>
    <w:rsid w:val="00B332CA"/>
    <w:rsid w:val="00B41E25"/>
    <w:rsid w:val="00B42BEE"/>
    <w:rsid w:val="00B452B7"/>
    <w:rsid w:val="00B458E3"/>
    <w:rsid w:val="00B518FF"/>
    <w:rsid w:val="00B54F17"/>
    <w:rsid w:val="00B55DA5"/>
    <w:rsid w:val="00B561EE"/>
    <w:rsid w:val="00B57D47"/>
    <w:rsid w:val="00B61584"/>
    <w:rsid w:val="00B6210E"/>
    <w:rsid w:val="00B632E3"/>
    <w:rsid w:val="00B64DC8"/>
    <w:rsid w:val="00B6673F"/>
    <w:rsid w:val="00B70688"/>
    <w:rsid w:val="00B75FD9"/>
    <w:rsid w:val="00B77091"/>
    <w:rsid w:val="00B837C1"/>
    <w:rsid w:val="00B841E0"/>
    <w:rsid w:val="00B860BA"/>
    <w:rsid w:val="00B865F5"/>
    <w:rsid w:val="00B870A0"/>
    <w:rsid w:val="00B91DFE"/>
    <w:rsid w:val="00B92858"/>
    <w:rsid w:val="00B966E9"/>
    <w:rsid w:val="00B96BC7"/>
    <w:rsid w:val="00B96FCD"/>
    <w:rsid w:val="00B97229"/>
    <w:rsid w:val="00BA07B9"/>
    <w:rsid w:val="00BA08A3"/>
    <w:rsid w:val="00BA3D7D"/>
    <w:rsid w:val="00BA5AB3"/>
    <w:rsid w:val="00BB018A"/>
    <w:rsid w:val="00BB114A"/>
    <w:rsid w:val="00BB227E"/>
    <w:rsid w:val="00BB4F22"/>
    <w:rsid w:val="00BB7E3D"/>
    <w:rsid w:val="00BC3CD1"/>
    <w:rsid w:val="00BC5A43"/>
    <w:rsid w:val="00BC5EC6"/>
    <w:rsid w:val="00BC5F0E"/>
    <w:rsid w:val="00BD2211"/>
    <w:rsid w:val="00BD221D"/>
    <w:rsid w:val="00BD3E65"/>
    <w:rsid w:val="00BD5934"/>
    <w:rsid w:val="00BD7785"/>
    <w:rsid w:val="00BE0032"/>
    <w:rsid w:val="00BE1C3D"/>
    <w:rsid w:val="00BE3B2E"/>
    <w:rsid w:val="00BE7DE8"/>
    <w:rsid w:val="00BF1CBD"/>
    <w:rsid w:val="00BF52C4"/>
    <w:rsid w:val="00BF62EC"/>
    <w:rsid w:val="00BF66D2"/>
    <w:rsid w:val="00C006BE"/>
    <w:rsid w:val="00C023D4"/>
    <w:rsid w:val="00C04A8B"/>
    <w:rsid w:val="00C05B8E"/>
    <w:rsid w:val="00C1063D"/>
    <w:rsid w:val="00C11B86"/>
    <w:rsid w:val="00C12A0A"/>
    <w:rsid w:val="00C15E0E"/>
    <w:rsid w:val="00C23FB5"/>
    <w:rsid w:val="00C24A1A"/>
    <w:rsid w:val="00C25988"/>
    <w:rsid w:val="00C3294B"/>
    <w:rsid w:val="00C331BB"/>
    <w:rsid w:val="00C41A08"/>
    <w:rsid w:val="00C422B9"/>
    <w:rsid w:val="00C4240A"/>
    <w:rsid w:val="00C4241E"/>
    <w:rsid w:val="00C503EE"/>
    <w:rsid w:val="00C504EC"/>
    <w:rsid w:val="00C50EFE"/>
    <w:rsid w:val="00C527CF"/>
    <w:rsid w:val="00C53195"/>
    <w:rsid w:val="00C60382"/>
    <w:rsid w:val="00C615A3"/>
    <w:rsid w:val="00C6198D"/>
    <w:rsid w:val="00C635DA"/>
    <w:rsid w:val="00C639E7"/>
    <w:rsid w:val="00C648B8"/>
    <w:rsid w:val="00C659BE"/>
    <w:rsid w:val="00C75D4B"/>
    <w:rsid w:val="00C80300"/>
    <w:rsid w:val="00C813DE"/>
    <w:rsid w:val="00C82307"/>
    <w:rsid w:val="00C833DB"/>
    <w:rsid w:val="00C83E6A"/>
    <w:rsid w:val="00C8613B"/>
    <w:rsid w:val="00C900DE"/>
    <w:rsid w:val="00C91971"/>
    <w:rsid w:val="00C92622"/>
    <w:rsid w:val="00C946B4"/>
    <w:rsid w:val="00C96A0C"/>
    <w:rsid w:val="00C97228"/>
    <w:rsid w:val="00C9780D"/>
    <w:rsid w:val="00CA02DA"/>
    <w:rsid w:val="00CA19D6"/>
    <w:rsid w:val="00CA1A54"/>
    <w:rsid w:val="00CA1CB3"/>
    <w:rsid w:val="00CA26B5"/>
    <w:rsid w:val="00CA655A"/>
    <w:rsid w:val="00CB4720"/>
    <w:rsid w:val="00CB48A5"/>
    <w:rsid w:val="00CB5551"/>
    <w:rsid w:val="00CC155E"/>
    <w:rsid w:val="00CC3B34"/>
    <w:rsid w:val="00CC46B2"/>
    <w:rsid w:val="00CC48F9"/>
    <w:rsid w:val="00CC5718"/>
    <w:rsid w:val="00CC672D"/>
    <w:rsid w:val="00CD1352"/>
    <w:rsid w:val="00CD1CBE"/>
    <w:rsid w:val="00CD1E3E"/>
    <w:rsid w:val="00CD2EDC"/>
    <w:rsid w:val="00CD32E2"/>
    <w:rsid w:val="00CD4B0B"/>
    <w:rsid w:val="00CD6698"/>
    <w:rsid w:val="00CE16CB"/>
    <w:rsid w:val="00CE1E5B"/>
    <w:rsid w:val="00CE6070"/>
    <w:rsid w:val="00CF1D92"/>
    <w:rsid w:val="00CF2D92"/>
    <w:rsid w:val="00CF5D91"/>
    <w:rsid w:val="00CF696D"/>
    <w:rsid w:val="00D0025C"/>
    <w:rsid w:val="00D004FB"/>
    <w:rsid w:val="00D02BBC"/>
    <w:rsid w:val="00D02C36"/>
    <w:rsid w:val="00D03C5B"/>
    <w:rsid w:val="00D0761C"/>
    <w:rsid w:val="00D11911"/>
    <w:rsid w:val="00D12172"/>
    <w:rsid w:val="00D12B8C"/>
    <w:rsid w:val="00D14F84"/>
    <w:rsid w:val="00D200F6"/>
    <w:rsid w:val="00D21646"/>
    <w:rsid w:val="00D2171F"/>
    <w:rsid w:val="00D24429"/>
    <w:rsid w:val="00D36A3A"/>
    <w:rsid w:val="00D4397B"/>
    <w:rsid w:val="00D454F2"/>
    <w:rsid w:val="00D47CE9"/>
    <w:rsid w:val="00D52995"/>
    <w:rsid w:val="00D60425"/>
    <w:rsid w:val="00D60987"/>
    <w:rsid w:val="00D675F2"/>
    <w:rsid w:val="00D67B9C"/>
    <w:rsid w:val="00D7216E"/>
    <w:rsid w:val="00D72ADE"/>
    <w:rsid w:val="00D75233"/>
    <w:rsid w:val="00D76E52"/>
    <w:rsid w:val="00D7728F"/>
    <w:rsid w:val="00D77696"/>
    <w:rsid w:val="00D77ADC"/>
    <w:rsid w:val="00D81CC4"/>
    <w:rsid w:val="00D84310"/>
    <w:rsid w:val="00D9198B"/>
    <w:rsid w:val="00D9482F"/>
    <w:rsid w:val="00D96673"/>
    <w:rsid w:val="00D96B7A"/>
    <w:rsid w:val="00D9747F"/>
    <w:rsid w:val="00D9765E"/>
    <w:rsid w:val="00DA1473"/>
    <w:rsid w:val="00DA4591"/>
    <w:rsid w:val="00DA6088"/>
    <w:rsid w:val="00DA6430"/>
    <w:rsid w:val="00DA681A"/>
    <w:rsid w:val="00DA6B7E"/>
    <w:rsid w:val="00DB009F"/>
    <w:rsid w:val="00DB1481"/>
    <w:rsid w:val="00DB63BE"/>
    <w:rsid w:val="00DB63DB"/>
    <w:rsid w:val="00DB7824"/>
    <w:rsid w:val="00DC1AE3"/>
    <w:rsid w:val="00DC308E"/>
    <w:rsid w:val="00DC5E0F"/>
    <w:rsid w:val="00DC6C76"/>
    <w:rsid w:val="00DC7F73"/>
    <w:rsid w:val="00DE191A"/>
    <w:rsid w:val="00DE1A0F"/>
    <w:rsid w:val="00DE3123"/>
    <w:rsid w:val="00DE339F"/>
    <w:rsid w:val="00DE62ED"/>
    <w:rsid w:val="00DE65D3"/>
    <w:rsid w:val="00DE6714"/>
    <w:rsid w:val="00DF1535"/>
    <w:rsid w:val="00DF2B8B"/>
    <w:rsid w:val="00DF53F5"/>
    <w:rsid w:val="00DF61FD"/>
    <w:rsid w:val="00DF6226"/>
    <w:rsid w:val="00DF6D25"/>
    <w:rsid w:val="00E00FE3"/>
    <w:rsid w:val="00E03C6D"/>
    <w:rsid w:val="00E11EE3"/>
    <w:rsid w:val="00E135F9"/>
    <w:rsid w:val="00E13F87"/>
    <w:rsid w:val="00E14349"/>
    <w:rsid w:val="00E20168"/>
    <w:rsid w:val="00E20A7F"/>
    <w:rsid w:val="00E20C28"/>
    <w:rsid w:val="00E22A77"/>
    <w:rsid w:val="00E22E84"/>
    <w:rsid w:val="00E24B18"/>
    <w:rsid w:val="00E251B3"/>
    <w:rsid w:val="00E3016C"/>
    <w:rsid w:val="00E348BC"/>
    <w:rsid w:val="00E35B8D"/>
    <w:rsid w:val="00E4307D"/>
    <w:rsid w:val="00E4318F"/>
    <w:rsid w:val="00E4392E"/>
    <w:rsid w:val="00E47D3A"/>
    <w:rsid w:val="00E50B9E"/>
    <w:rsid w:val="00E520B0"/>
    <w:rsid w:val="00E536BD"/>
    <w:rsid w:val="00E54395"/>
    <w:rsid w:val="00E54532"/>
    <w:rsid w:val="00E54741"/>
    <w:rsid w:val="00E568E5"/>
    <w:rsid w:val="00E57AAD"/>
    <w:rsid w:val="00E63C0F"/>
    <w:rsid w:val="00E6453F"/>
    <w:rsid w:val="00E659EF"/>
    <w:rsid w:val="00E65CFD"/>
    <w:rsid w:val="00E66A14"/>
    <w:rsid w:val="00E677A6"/>
    <w:rsid w:val="00E70CBD"/>
    <w:rsid w:val="00E717E8"/>
    <w:rsid w:val="00E72BAF"/>
    <w:rsid w:val="00E73D81"/>
    <w:rsid w:val="00E754F4"/>
    <w:rsid w:val="00E80023"/>
    <w:rsid w:val="00E827BA"/>
    <w:rsid w:val="00E85F1B"/>
    <w:rsid w:val="00E865D1"/>
    <w:rsid w:val="00E95C91"/>
    <w:rsid w:val="00E9675D"/>
    <w:rsid w:val="00EA057C"/>
    <w:rsid w:val="00EA2D3D"/>
    <w:rsid w:val="00EA35B5"/>
    <w:rsid w:val="00EA46B7"/>
    <w:rsid w:val="00EA5961"/>
    <w:rsid w:val="00EA5B84"/>
    <w:rsid w:val="00EB009A"/>
    <w:rsid w:val="00EB0D0E"/>
    <w:rsid w:val="00EB20F9"/>
    <w:rsid w:val="00EB24EB"/>
    <w:rsid w:val="00EB34AF"/>
    <w:rsid w:val="00EB4719"/>
    <w:rsid w:val="00EB6100"/>
    <w:rsid w:val="00EC0C85"/>
    <w:rsid w:val="00EC4235"/>
    <w:rsid w:val="00EC4A49"/>
    <w:rsid w:val="00EC7749"/>
    <w:rsid w:val="00ED06CC"/>
    <w:rsid w:val="00ED2C8E"/>
    <w:rsid w:val="00ED32CC"/>
    <w:rsid w:val="00ED379E"/>
    <w:rsid w:val="00ED3B82"/>
    <w:rsid w:val="00ED66E6"/>
    <w:rsid w:val="00ED7680"/>
    <w:rsid w:val="00EE0424"/>
    <w:rsid w:val="00EE0D47"/>
    <w:rsid w:val="00EE3ACE"/>
    <w:rsid w:val="00EE5358"/>
    <w:rsid w:val="00EF1B6A"/>
    <w:rsid w:val="00EF3C59"/>
    <w:rsid w:val="00EF3D7E"/>
    <w:rsid w:val="00EF5328"/>
    <w:rsid w:val="00EF54D8"/>
    <w:rsid w:val="00EF71E9"/>
    <w:rsid w:val="00EF7799"/>
    <w:rsid w:val="00F006D2"/>
    <w:rsid w:val="00F00BD1"/>
    <w:rsid w:val="00F00DC7"/>
    <w:rsid w:val="00F017B0"/>
    <w:rsid w:val="00F01FD9"/>
    <w:rsid w:val="00F04B07"/>
    <w:rsid w:val="00F05BA8"/>
    <w:rsid w:val="00F074DD"/>
    <w:rsid w:val="00F07657"/>
    <w:rsid w:val="00F1022C"/>
    <w:rsid w:val="00F10E3E"/>
    <w:rsid w:val="00F12483"/>
    <w:rsid w:val="00F12872"/>
    <w:rsid w:val="00F16F13"/>
    <w:rsid w:val="00F20AEA"/>
    <w:rsid w:val="00F219C3"/>
    <w:rsid w:val="00F23E9A"/>
    <w:rsid w:val="00F242D9"/>
    <w:rsid w:val="00F259FE"/>
    <w:rsid w:val="00F30E5A"/>
    <w:rsid w:val="00F3460D"/>
    <w:rsid w:val="00F3715D"/>
    <w:rsid w:val="00F37748"/>
    <w:rsid w:val="00F44B62"/>
    <w:rsid w:val="00F5072C"/>
    <w:rsid w:val="00F517F5"/>
    <w:rsid w:val="00F51CBF"/>
    <w:rsid w:val="00F526D5"/>
    <w:rsid w:val="00F5411D"/>
    <w:rsid w:val="00F54AB9"/>
    <w:rsid w:val="00F56D2B"/>
    <w:rsid w:val="00F57D2D"/>
    <w:rsid w:val="00F606D8"/>
    <w:rsid w:val="00F62A49"/>
    <w:rsid w:val="00F64F0D"/>
    <w:rsid w:val="00F65726"/>
    <w:rsid w:val="00F7026A"/>
    <w:rsid w:val="00F71826"/>
    <w:rsid w:val="00F72B45"/>
    <w:rsid w:val="00F72DB4"/>
    <w:rsid w:val="00F73B00"/>
    <w:rsid w:val="00F7493F"/>
    <w:rsid w:val="00F764EE"/>
    <w:rsid w:val="00F779BA"/>
    <w:rsid w:val="00F8464D"/>
    <w:rsid w:val="00F84737"/>
    <w:rsid w:val="00F85099"/>
    <w:rsid w:val="00F85783"/>
    <w:rsid w:val="00F860EE"/>
    <w:rsid w:val="00F87B69"/>
    <w:rsid w:val="00F90C95"/>
    <w:rsid w:val="00F9103E"/>
    <w:rsid w:val="00F95923"/>
    <w:rsid w:val="00F96A39"/>
    <w:rsid w:val="00F96DB3"/>
    <w:rsid w:val="00F97463"/>
    <w:rsid w:val="00F974AD"/>
    <w:rsid w:val="00FA0979"/>
    <w:rsid w:val="00FA4B50"/>
    <w:rsid w:val="00FA4DC6"/>
    <w:rsid w:val="00FA5D99"/>
    <w:rsid w:val="00FB030E"/>
    <w:rsid w:val="00FB1671"/>
    <w:rsid w:val="00FB52E8"/>
    <w:rsid w:val="00FB571F"/>
    <w:rsid w:val="00FB579D"/>
    <w:rsid w:val="00FB6F0B"/>
    <w:rsid w:val="00FC42BA"/>
    <w:rsid w:val="00FC4CC7"/>
    <w:rsid w:val="00FC611F"/>
    <w:rsid w:val="00FC6166"/>
    <w:rsid w:val="00FC77BB"/>
    <w:rsid w:val="00FD08C1"/>
    <w:rsid w:val="00FD2C54"/>
    <w:rsid w:val="00FD2C98"/>
    <w:rsid w:val="00FD6877"/>
    <w:rsid w:val="00FD7A7A"/>
    <w:rsid w:val="00FE10C1"/>
    <w:rsid w:val="00FE190E"/>
    <w:rsid w:val="00FE20A9"/>
    <w:rsid w:val="00FE48A9"/>
    <w:rsid w:val="00FF08B7"/>
    <w:rsid w:val="00FF12B8"/>
    <w:rsid w:val="00FF1AC4"/>
    <w:rsid w:val="00FF4763"/>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C. Caption"/>
    <w:basedOn w:val="Normal"/>
    <w:next w:val="Normal"/>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table" w:styleId="TableGridLight">
    <w:name w:val="Grid Table Light"/>
    <w:basedOn w:val="TableNormal"/>
    <w:uiPriority w:val="40"/>
    <w:rsid w:val="00425F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uiPriority w:val="20"/>
    <w:qFormat/>
    <w:rsid w:val="00610050"/>
    <w:rPr>
      <w:i/>
      <w:iCs/>
    </w:rPr>
  </w:style>
  <w:style w:type="paragraph" w:styleId="NormalWeb">
    <w:name w:val="Normal (Web)"/>
    <w:basedOn w:val="Normal"/>
    <w:uiPriority w:val="99"/>
    <w:semiHidden/>
    <w:unhideWhenUsed/>
    <w:rsid w:val="00523F9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154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7649">
      <w:bodyDiv w:val="1"/>
      <w:marLeft w:val="0"/>
      <w:marRight w:val="0"/>
      <w:marTop w:val="0"/>
      <w:marBottom w:val="0"/>
      <w:divBdr>
        <w:top w:val="none" w:sz="0" w:space="0" w:color="auto"/>
        <w:left w:val="none" w:sz="0" w:space="0" w:color="auto"/>
        <w:bottom w:val="none" w:sz="0" w:space="0" w:color="auto"/>
        <w:right w:val="none" w:sz="0" w:space="0" w:color="auto"/>
      </w:divBdr>
    </w:div>
    <w:div w:id="285239391">
      <w:bodyDiv w:val="1"/>
      <w:marLeft w:val="0"/>
      <w:marRight w:val="0"/>
      <w:marTop w:val="0"/>
      <w:marBottom w:val="0"/>
      <w:divBdr>
        <w:top w:val="none" w:sz="0" w:space="0" w:color="auto"/>
        <w:left w:val="none" w:sz="0" w:space="0" w:color="auto"/>
        <w:bottom w:val="none" w:sz="0" w:space="0" w:color="auto"/>
        <w:right w:val="none" w:sz="0" w:space="0" w:color="auto"/>
      </w:divBdr>
      <w:divsChild>
        <w:div w:id="1215585823">
          <w:marLeft w:val="0"/>
          <w:marRight w:val="0"/>
          <w:marTop w:val="0"/>
          <w:marBottom w:val="0"/>
          <w:divBdr>
            <w:top w:val="none" w:sz="0" w:space="0" w:color="auto"/>
            <w:left w:val="none" w:sz="0" w:space="0" w:color="auto"/>
            <w:bottom w:val="none" w:sz="0" w:space="0" w:color="auto"/>
            <w:right w:val="none" w:sz="0" w:space="0" w:color="auto"/>
          </w:divBdr>
          <w:divsChild>
            <w:div w:id="207527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7808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6313013">
      <w:bodyDiv w:val="1"/>
      <w:marLeft w:val="0"/>
      <w:marRight w:val="0"/>
      <w:marTop w:val="0"/>
      <w:marBottom w:val="0"/>
      <w:divBdr>
        <w:top w:val="none" w:sz="0" w:space="0" w:color="auto"/>
        <w:left w:val="none" w:sz="0" w:space="0" w:color="auto"/>
        <w:bottom w:val="none" w:sz="0" w:space="0" w:color="auto"/>
        <w:right w:val="none" w:sz="0" w:space="0" w:color="auto"/>
      </w:divBdr>
    </w:div>
    <w:div w:id="138379593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208809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0618E-36B2-4821-9276-12C8A444ED9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fc248c3-ff09-43ca-b0f5-2ab76585017c"/>
    <ds:schemaRef ds:uri="http://purl.org/dc/terms/"/>
    <ds:schemaRef ds:uri="http://schemas.openxmlformats.org/package/2006/metadata/core-properties"/>
    <ds:schemaRef ds:uri="2ca58cb1-a033-43ef-8c86-0668b269dda1"/>
    <ds:schemaRef ds:uri="http://www.w3.org/XML/1998/namespace"/>
    <ds:schemaRef ds:uri="http://purl.org/dc/dcmitype/"/>
  </ds:schemaRefs>
</ds:datastoreItem>
</file>

<file path=customXml/itemProps2.xml><?xml version="1.0" encoding="utf-8"?>
<ds:datastoreItem xmlns:ds="http://schemas.openxmlformats.org/officeDocument/2006/customXml" ds:itemID="{5184EA71-FEDB-4DC6-9EA9-ACAAF9D3890E}">
  <ds:schemaRefs>
    <ds:schemaRef ds:uri="http://schemas.microsoft.com/sharepoint/v3/contenttype/forms"/>
  </ds:schemaRefs>
</ds:datastoreItem>
</file>

<file path=customXml/itemProps3.xml><?xml version="1.0" encoding="utf-8"?>
<ds:datastoreItem xmlns:ds="http://schemas.openxmlformats.org/officeDocument/2006/customXml" ds:itemID="{AD043162-B5B4-412D-AE41-E6D4BDED8D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57D508-77BD-4CE8-8949-62C10013F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12</TotalTime>
  <Pages>10</Pages>
  <Words>2545</Words>
  <Characters>14507</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17018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17</cp:revision>
  <cp:lastPrinted>2021-03-30T07:49:00Z</cp:lastPrinted>
  <dcterms:created xsi:type="dcterms:W3CDTF">2020-05-28T03:31:00Z</dcterms:created>
  <dcterms:modified xsi:type="dcterms:W3CDTF">2021-03-30T07:49:00Z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